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0C83E">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b/>
          <w:bCs/>
          <w:color w:val="0D0D0D" w:themeColor="text1" w:themeTint="F2"/>
          <w:sz w:val="21"/>
          <w:szCs w:val="21"/>
          <w:u w:val="single"/>
          <w14:textFill>
            <w14:solidFill>
              <w14:schemeClr w14:val="tx1">
                <w14:lumMod w14:val="95000"/>
                <w14:lumOff w14:val="5000"/>
              </w14:schemeClr>
            </w14:solidFill>
          </w14:textFill>
        </w:rPr>
      </w:pPr>
    </w:p>
    <w:p w14:paraId="4A9A7D41">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b/>
          <w:bCs/>
          <w:color w:val="FF0000"/>
          <w:sz w:val="21"/>
          <w:szCs w:val="21"/>
          <w:u w:val="none"/>
          <w:lang w:val="en-US" w:eastAsia="zh-CN"/>
        </w:rPr>
      </w:pPr>
      <w:r>
        <w:rPr>
          <w:rFonts w:hint="eastAsia" w:ascii="宋体" w:hAnsi="宋体" w:eastAsia="宋体" w:cs="宋体"/>
          <w:b/>
          <w:bCs/>
          <w:color w:val="FF0000"/>
          <w:sz w:val="21"/>
          <w:szCs w:val="21"/>
          <w:u w:val="none"/>
          <w:lang w:val="en-US" w:eastAsia="zh-CN"/>
        </w:rPr>
        <w:t>示例说明：</w:t>
      </w:r>
    </w:p>
    <w:p w14:paraId="479E05FF">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b/>
          <w:bCs/>
          <w:color w:val="FF0000"/>
          <w:sz w:val="21"/>
          <w:szCs w:val="21"/>
          <w:u w:val="none"/>
          <w:lang w:val="en-US"/>
        </w:rPr>
      </w:pPr>
      <w:r>
        <w:rPr>
          <w:rFonts w:hint="eastAsia" w:ascii="宋体" w:hAnsi="宋体" w:eastAsia="宋体" w:cs="宋体"/>
          <w:b/>
          <w:bCs/>
          <w:color w:val="FF0000"/>
          <w:sz w:val="21"/>
          <w:szCs w:val="21"/>
          <w:u w:val="none"/>
          <w:lang w:val="en-US" w:eastAsia="zh-CN"/>
        </w:rPr>
        <w:t>本消防设计文件是以现有商业建筑中把部分商业改为KTV娱乐场所。（正式文件需删除）</w:t>
      </w:r>
    </w:p>
    <w:p w14:paraId="1458D2F1">
      <w:pPr>
        <w:keepNext w:val="0"/>
        <w:pageBreakBefore w:val="0"/>
        <w:wordWrap/>
        <w:topLinePunct w:val="0"/>
        <w:bidi w:val="0"/>
        <w:spacing w:line="360" w:lineRule="auto"/>
        <w:ind w:left="0" w:leftChars="0" w:right="0" w:rightChars="0" w:firstLine="0" w:firstLineChars="0"/>
        <w:jc w:val="center"/>
        <w:rPr>
          <w:rFonts w:hint="eastAsia" w:ascii="黑体" w:hAnsi="黑体" w:eastAsia="黑体" w:cs="黑体"/>
          <w:b/>
          <w:bCs w:val="0"/>
          <w:color w:val="0D0D0D" w:themeColor="text1" w:themeTint="F2"/>
          <w:sz w:val="36"/>
          <w:szCs w:val="36"/>
          <w:u w:val="single"/>
          <w14:textFill>
            <w14:solidFill>
              <w14:schemeClr w14:val="tx1">
                <w14:lumMod w14:val="95000"/>
                <w14:lumOff w14:val="5000"/>
              </w14:schemeClr>
            </w14:solidFill>
          </w14:textFill>
        </w:rPr>
      </w:pPr>
      <w:r>
        <w:rPr>
          <w:rFonts w:hint="eastAsia" w:ascii="黑体" w:hAnsi="黑体" w:eastAsia="黑体" w:cs="黑体"/>
          <w:b/>
          <w:bCs w:val="0"/>
          <w:color w:val="0D0D0D" w:themeColor="text1" w:themeTint="F2"/>
          <w:sz w:val="36"/>
          <w:szCs w:val="36"/>
          <w:u w:val="single"/>
          <w:lang w:val="en-US" w:eastAsia="zh-CN"/>
          <w14:textFill>
            <w14:solidFill>
              <w14:schemeClr w14:val="tx1">
                <w14:lumMod w14:val="95000"/>
                <w14:lumOff w14:val="5000"/>
              </w14:schemeClr>
            </w14:solidFill>
          </w14:textFill>
        </w:rPr>
        <w:t>XXXXXXXXXXXXXXXXXXXXXX</w:t>
      </w:r>
      <w:r>
        <w:rPr>
          <w:rFonts w:hint="eastAsia" w:ascii="黑体" w:hAnsi="黑体" w:eastAsia="黑体" w:cs="黑体"/>
          <w:b/>
          <w:bCs w:val="0"/>
          <w:color w:val="0D0D0D" w:themeColor="text1" w:themeTint="F2"/>
          <w:sz w:val="36"/>
          <w:szCs w:val="36"/>
          <w:u w:val="single"/>
          <w14:textFill>
            <w14:solidFill>
              <w14:schemeClr w14:val="tx1">
                <w14:lumMod w14:val="95000"/>
                <w14:lumOff w14:val="5000"/>
              </w14:schemeClr>
            </w14:solidFill>
          </w14:textFill>
        </w:rPr>
        <w:t>项目</w:t>
      </w:r>
    </w:p>
    <w:p w14:paraId="2EA13015">
      <w:pPr>
        <w:keepNext w:val="0"/>
        <w:pageBreakBefore w:val="0"/>
        <w:wordWrap/>
        <w:topLinePunct w:val="0"/>
        <w:bidi w:val="0"/>
        <w:spacing w:line="600" w:lineRule="auto"/>
        <w:ind w:left="0" w:leftChars="0" w:right="0" w:rightChars="0" w:firstLine="0" w:firstLineChars="0"/>
        <w:jc w:val="center"/>
        <w:rPr>
          <w:rFonts w:hint="eastAsia" w:ascii="黑体" w:hAnsi="黑体" w:eastAsia="黑体" w:cs="黑体"/>
          <w:b/>
          <w:bCs w:val="0"/>
          <w:color w:val="0D0D0D" w:themeColor="text1" w:themeTint="F2"/>
          <w:spacing w:val="6"/>
          <w:sz w:val="36"/>
          <w:szCs w:val="36"/>
          <w14:textFill>
            <w14:solidFill>
              <w14:schemeClr w14:val="tx1">
                <w14:lumMod w14:val="95000"/>
                <w14:lumOff w14:val="5000"/>
              </w14:schemeClr>
            </w14:solidFill>
          </w14:textFill>
        </w:rPr>
      </w:pPr>
      <w:r>
        <w:rPr>
          <w:rFonts w:hint="eastAsia" w:ascii="黑体" w:hAnsi="黑体" w:eastAsia="黑体" w:cs="黑体"/>
          <w:b/>
          <w:bCs w:val="0"/>
          <w:color w:val="0D0D0D" w:themeColor="text1" w:themeTint="F2"/>
          <w:spacing w:val="6"/>
          <w:sz w:val="36"/>
          <w:szCs w:val="36"/>
          <w14:textFill>
            <w14:solidFill>
              <w14:schemeClr w14:val="tx1">
                <w14:lumMod w14:val="95000"/>
                <w14:lumOff w14:val="5000"/>
              </w14:schemeClr>
            </w14:solidFill>
          </w14:textFill>
        </w:rPr>
        <w:t>（公共建筑）</w:t>
      </w:r>
    </w:p>
    <w:p w14:paraId="78BE68DF">
      <w:pPr>
        <w:keepNext w:val="0"/>
        <w:pageBreakBefore w:val="0"/>
        <w:wordWrap/>
        <w:topLinePunct w:val="0"/>
        <w:bidi w:val="0"/>
        <w:spacing w:line="600" w:lineRule="auto"/>
        <w:ind w:left="0" w:leftChars="0" w:right="0" w:rightChars="0" w:firstLine="0" w:firstLineChars="0"/>
        <w:jc w:val="center"/>
        <w:rPr>
          <w:rFonts w:hint="eastAsia" w:ascii="黑体" w:hAnsi="黑体" w:eastAsia="黑体" w:cs="黑体"/>
          <w:b/>
          <w:bCs w:val="0"/>
          <w:color w:val="0D0D0D" w:themeColor="text1" w:themeTint="F2"/>
          <w:spacing w:val="6"/>
          <w:sz w:val="52"/>
          <w:szCs w:val="52"/>
          <w14:textFill>
            <w14:solidFill>
              <w14:schemeClr w14:val="tx1">
                <w14:lumMod w14:val="95000"/>
                <w14:lumOff w14:val="5000"/>
              </w14:schemeClr>
            </w14:solidFill>
          </w14:textFill>
        </w:rPr>
      </w:pPr>
      <w:r>
        <w:rPr>
          <w:rFonts w:hint="eastAsia" w:ascii="黑体" w:hAnsi="黑体" w:eastAsia="黑体" w:cs="黑体"/>
          <w:b/>
          <w:bCs w:val="0"/>
          <w:color w:val="0D0D0D" w:themeColor="text1" w:themeTint="F2"/>
          <w:spacing w:val="6"/>
          <w:sz w:val="52"/>
          <w:szCs w:val="52"/>
          <w14:textFill>
            <w14:solidFill>
              <w14:schemeClr w14:val="tx1">
                <w14:lumMod w14:val="95000"/>
                <w14:lumOff w14:val="5000"/>
              </w14:schemeClr>
            </w14:solidFill>
          </w14:textFill>
        </w:rPr>
        <w:t>消  防  设  计  文  件</w:t>
      </w:r>
    </w:p>
    <w:p w14:paraId="3BCA2BA6">
      <w:pPr>
        <w:keepNext w:val="0"/>
        <w:pageBreakBefore w:val="0"/>
        <w:wordWrap/>
        <w:topLinePunct w:val="0"/>
        <w:bidi w:val="0"/>
        <w:spacing w:line="600" w:lineRule="auto"/>
        <w:ind w:left="0" w:leftChars="0" w:right="0" w:rightChars="0" w:firstLine="0" w:firstLineChars="0"/>
        <w:jc w:val="center"/>
        <w:rPr>
          <w:rFonts w:hint="eastAsia" w:ascii="黑体" w:hAnsi="黑体" w:eastAsia="黑体" w:cs="黑体"/>
          <w:b/>
          <w:bCs w:val="0"/>
          <w:color w:val="0D0D0D" w:themeColor="text1" w:themeTint="F2"/>
          <w:spacing w:val="6"/>
          <w:sz w:val="36"/>
          <w:szCs w:val="36"/>
          <w14:textFill>
            <w14:solidFill>
              <w14:schemeClr w14:val="tx1">
                <w14:lumMod w14:val="95000"/>
                <w14:lumOff w14:val="5000"/>
              </w14:schemeClr>
            </w14:solidFill>
          </w14:textFill>
        </w:rPr>
      </w:pPr>
      <w:r>
        <w:rPr>
          <w:rFonts w:hint="eastAsia" w:ascii="黑体" w:hAnsi="黑体" w:eastAsia="黑体" w:cs="黑体"/>
          <w:b/>
          <w:bCs w:val="0"/>
          <w:color w:val="0D0D0D" w:themeColor="text1" w:themeTint="F2"/>
          <w:spacing w:val="6"/>
          <w:sz w:val="36"/>
          <w:szCs w:val="36"/>
          <w14:textFill>
            <w14:solidFill>
              <w14:schemeClr w14:val="tx1">
                <w14:lumMod w14:val="95000"/>
                <w14:lumOff w14:val="5000"/>
              </w14:schemeClr>
            </w14:solidFill>
          </w14:textFill>
        </w:rPr>
        <w:t>（既有建筑改造工程）</w:t>
      </w:r>
    </w:p>
    <w:p w14:paraId="55F943DD">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21"/>
          <w:sz w:val="21"/>
          <w:szCs w:val="21"/>
          <w14:textFill>
            <w14:solidFill>
              <w14:schemeClr w14:val="tx1">
                <w14:lumMod w14:val="95000"/>
                <w14:lumOff w14:val="5000"/>
              </w14:schemeClr>
            </w14:solidFill>
          </w14:textFill>
        </w:rPr>
      </w:pPr>
    </w:p>
    <w:p w14:paraId="56AD56D7">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52E962F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3D5E6ED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6ACEA12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1408D206">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316DF20B">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61EB5CDF">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0429459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0C8D65A7">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0A2541EE">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14629820">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46C3AFD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4321EE77">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bl>
      <w:tblPr>
        <w:tblStyle w:val="1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Pr>
      <w:tblGrid>
        <w:gridCol w:w="1815"/>
        <w:gridCol w:w="5580"/>
      </w:tblGrid>
      <w:tr w14:paraId="2998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850" w:hRule="atLeast"/>
          <w:jc w:val="center"/>
        </w:trPr>
        <w:tc>
          <w:tcPr>
            <w:tcW w:w="1815" w:type="dxa"/>
            <w:tcBorders>
              <w:tl2br w:val="nil"/>
              <w:tr2bl w:val="nil"/>
            </w:tcBorders>
            <w:vAlign w:val="center"/>
          </w:tcPr>
          <w:p w14:paraId="218FC87A">
            <w:pPr>
              <w:keepNext w:val="0"/>
              <w:pageBreakBefore w:val="0"/>
              <w:wordWrap/>
              <w:topLinePunct w:val="0"/>
              <w:bidi w:val="0"/>
              <w:spacing w:line="288" w:lineRule="auto"/>
              <w:ind w:right="0" w:rightChars="0"/>
              <w:jc w:val="center"/>
              <w:rPr>
                <w:rFonts w:hint="eastAsia" w:ascii="黑体" w:hAnsi="黑体" w:eastAsia="黑体" w:cs="黑体"/>
                <w:color w:val="0D0D0D" w:themeColor="text1" w:themeTint="F2"/>
                <w:sz w:val="28"/>
                <w:szCs w:val="28"/>
                <w:vertAlign w:val="baseline"/>
                <w14:textFill>
                  <w14:solidFill>
                    <w14:schemeClr w14:val="tx1">
                      <w14:lumMod w14:val="95000"/>
                      <w14:lumOff w14:val="5000"/>
                    </w14:schemeClr>
                  </w14:solidFill>
                </w14:textFill>
              </w:rPr>
            </w:pPr>
            <w:r>
              <w:rPr>
                <w:rFonts w:hint="eastAsia" w:ascii="黑体" w:hAnsi="黑体" w:eastAsia="黑体" w:cs="黑体"/>
                <w:color w:val="0D0D0D" w:themeColor="text1" w:themeTint="F2"/>
                <w:spacing w:val="-13"/>
                <w:sz w:val="28"/>
                <w:szCs w:val="28"/>
                <w14:textFill>
                  <w14:solidFill>
                    <w14:schemeClr w14:val="tx1">
                      <w14:lumMod w14:val="95000"/>
                      <w14:lumOff w14:val="5000"/>
                    </w14:schemeClr>
                  </w14:solidFill>
                </w14:textFill>
              </w:rPr>
              <w:t>建设单位：</w:t>
            </w:r>
          </w:p>
        </w:tc>
        <w:tc>
          <w:tcPr>
            <w:tcW w:w="5580" w:type="dxa"/>
            <w:tcBorders>
              <w:tl2br w:val="nil"/>
              <w:tr2bl w:val="nil"/>
            </w:tcBorders>
            <w:vAlign w:val="center"/>
          </w:tcPr>
          <w:p w14:paraId="0E66FD64">
            <w:pPr>
              <w:keepNext w:val="0"/>
              <w:pageBreakBefore w:val="0"/>
              <w:wordWrap/>
              <w:topLinePunct w:val="0"/>
              <w:bidi w:val="0"/>
              <w:spacing w:line="288" w:lineRule="auto"/>
              <w:ind w:right="0" w:rightChars="0"/>
              <w:jc w:val="both"/>
              <w:rPr>
                <w:rFonts w:hint="default" w:ascii="宋体" w:hAnsi="宋体" w:eastAsia="宋体" w:cs="宋体"/>
                <w:color w:val="0D0D0D" w:themeColor="text1" w:themeTint="F2"/>
                <w:sz w:val="28"/>
                <w:szCs w:val="28"/>
                <w:vertAlign w:val="baseli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u w:val="single"/>
                <w:vertAlign w:val="baseline"/>
                <w:lang w:val="en-US" w:eastAsia="zh-CN"/>
                <w14:textFill>
                  <w14:solidFill>
                    <w14:schemeClr w14:val="tx1">
                      <w14:lumMod w14:val="95000"/>
                      <w14:lumOff w14:val="5000"/>
                    </w14:schemeClr>
                  </w14:solidFill>
                </w14:textFill>
              </w:rPr>
              <w:t xml:space="preserve">                                     </w:t>
            </w:r>
          </w:p>
        </w:tc>
      </w:tr>
      <w:tr w14:paraId="4D0CB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850" w:hRule="atLeast"/>
          <w:jc w:val="center"/>
        </w:trPr>
        <w:tc>
          <w:tcPr>
            <w:tcW w:w="1815" w:type="dxa"/>
            <w:tcBorders>
              <w:tl2br w:val="nil"/>
              <w:tr2bl w:val="nil"/>
            </w:tcBorders>
            <w:vAlign w:val="center"/>
          </w:tcPr>
          <w:p w14:paraId="40FB5E0F">
            <w:pPr>
              <w:keepNext w:val="0"/>
              <w:pageBreakBefore w:val="0"/>
              <w:wordWrap/>
              <w:topLinePunct w:val="0"/>
              <w:bidi w:val="0"/>
              <w:spacing w:line="288" w:lineRule="auto"/>
              <w:ind w:right="0" w:rightChars="0"/>
              <w:jc w:val="center"/>
              <w:rPr>
                <w:rFonts w:hint="eastAsia" w:ascii="黑体" w:hAnsi="黑体" w:eastAsia="黑体" w:cs="黑体"/>
                <w:color w:val="0D0D0D" w:themeColor="text1" w:themeTint="F2"/>
                <w:spacing w:val="-13"/>
                <w:sz w:val="28"/>
                <w:szCs w:val="28"/>
                <w14:textFill>
                  <w14:solidFill>
                    <w14:schemeClr w14:val="tx1">
                      <w14:lumMod w14:val="95000"/>
                      <w14:lumOff w14:val="5000"/>
                    </w14:schemeClr>
                  </w14:solidFill>
                </w14:textFill>
              </w:rPr>
            </w:pPr>
            <w:r>
              <w:rPr>
                <w:rFonts w:hint="eastAsia" w:ascii="黑体" w:hAnsi="黑体" w:eastAsia="黑体" w:cs="黑体"/>
                <w:color w:val="0D0D0D" w:themeColor="text1" w:themeTint="F2"/>
                <w:spacing w:val="-13"/>
                <w:sz w:val="28"/>
                <w:szCs w:val="28"/>
                <w14:textFill>
                  <w14:solidFill>
                    <w14:schemeClr w14:val="tx1">
                      <w14:lumMod w14:val="95000"/>
                      <w14:lumOff w14:val="5000"/>
                    </w14:schemeClr>
                  </w14:solidFill>
                </w14:textFill>
              </w:rPr>
              <w:t>设计单位：</w:t>
            </w:r>
          </w:p>
        </w:tc>
        <w:tc>
          <w:tcPr>
            <w:tcW w:w="5580" w:type="dxa"/>
            <w:tcBorders>
              <w:tl2br w:val="nil"/>
              <w:tr2bl w:val="nil"/>
            </w:tcBorders>
            <w:vAlign w:val="center"/>
          </w:tcPr>
          <w:p w14:paraId="2A9439D9">
            <w:pPr>
              <w:keepNext w:val="0"/>
              <w:pageBreakBefore w:val="0"/>
              <w:wordWrap/>
              <w:topLinePunct w:val="0"/>
              <w:bidi w:val="0"/>
              <w:spacing w:line="288" w:lineRule="auto"/>
              <w:ind w:right="0" w:rightChars="0"/>
              <w:jc w:val="both"/>
              <w:rPr>
                <w:rFonts w:hint="eastAsia" w:ascii="宋体" w:hAnsi="宋体" w:eastAsia="宋体" w:cs="宋体"/>
                <w:color w:val="0D0D0D" w:themeColor="text1" w:themeTint="F2"/>
                <w:spacing w:val="-13"/>
                <w:sz w:val="28"/>
                <w:szCs w:val="28"/>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u w:val="single"/>
                <w:vertAlign w:val="baseline"/>
                <w:lang w:val="en-US" w:eastAsia="zh-CN"/>
                <w14:textFill>
                  <w14:solidFill>
                    <w14:schemeClr w14:val="tx1">
                      <w14:lumMod w14:val="95000"/>
                      <w14:lumOff w14:val="5000"/>
                    </w14:schemeClr>
                  </w14:solidFill>
                </w14:textFill>
              </w:rPr>
              <w:t xml:space="preserve">                                     </w:t>
            </w:r>
          </w:p>
        </w:tc>
      </w:tr>
      <w:tr w14:paraId="31ED3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850" w:hRule="atLeast"/>
          <w:jc w:val="center"/>
        </w:trPr>
        <w:tc>
          <w:tcPr>
            <w:tcW w:w="1815" w:type="dxa"/>
            <w:tcBorders>
              <w:tl2br w:val="nil"/>
              <w:tr2bl w:val="nil"/>
            </w:tcBorders>
            <w:vAlign w:val="center"/>
          </w:tcPr>
          <w:p w14:paraId="3D3455EB">
            <w:pPr>
              <w:keepNext w:val="0"/>
              <w:pageBreakBefore w:val="0"/>
              <w:wordWrap/>
              <w:topLinePunct w:val="0"/>
              <w:bidi w:val="0"/>
              <w:spacing w:line="288" w:lineRule="auto"/>
              <w:ind w:right="0" w:rightChars="0"/>
              <w:jc w:val="center"/>
              <w:rPr>
                <w:rFonts w:hint="eastAsia" w:ascii="黑体" w:hAnsi="黑体" w:eastAsia="黑体" w:cs="黑体"/>
                <w:color w:val="0D0D0D" w:themeColor="text1" w:themeTint="F2"/>
                <w:sz w:val="28"/>
                <w:szCs w:val="28"/>
                <w:vertAlign w:val="baseline"/>
                <w14:textFill>
                  <w14:solidFill>
                    <w14:schemeClr w14:val="tx1">
                      <w14:lumMod w14:val="95000"/>
                      <w14:lumOff w14:val="5000"/>
                    </w14:schemeClr>
                  </w14:solidFill>
                </w14:textFill>
              </w:rPr>
            </w:pPr>
            <w:r>
              <w:rPr>
                <w:rFonts w:hint="eastAsia" w:ascii="黑体" w:hAnsi="黑体" w:eastAsia="黑体" w:cs="黑体"/>
                <w:color w:val="0D0D0D" w:themeColor="text1" w:themeTint="F2"/>
                <w:spacing w:val="-13"/>
                <w:sz w:val="28"/>
                <w:szCs w:val="28"/>
                <w14:textFill>
                  <w14:solidFill>
                    <w14:schemeClr w14:val="tx1">
                      <w14:lumMod w14:val="95000"/>
                      <w14:lumOff w14:val="5000"/>
                    </w14:schemeClr>
                  </w14:solidFill>
                </w14:textFill>
              </w:rPr>
              <w:t>编制时间：</w:t>
            </w:r>
          </w:p>
        </w:tc>
        <w:tc>
          <w:tcPr>
            <w:tcW w:w="5580" w:type="dxa"/>
            <w:tcBorders>
              <w:tl2br w:val="nil"/>
              <w:tr2bl w:val="nil"/>
            </w:tcBorders>
            <w:vAlign w:val="center"/>
          </w:tcPr>
          <w:p w14:paraId="05635F61">
            <w:pPr>
              <w:keepNext w:val="0"/>
              <w:pageBreakBefore w:val="0"/>
              <w:wordWrap/>
              <w:topLinePunct w:val="0"/>
              <w:bidi w:val="0"/>
              <w:spacing w:line="288" w:lineRule="auto"/>
              <w:ind w:right="0" w:rightChars="0"/>
              <w:jc w:val="both"/>
              <w:rPr>
                <w:rFonts w:hint="default" w:ascii="宋体" w:hAnsi="宋体" w:eastAsia="宋体" w:cs="宋体"/>
                <w:color w:val="0D0D0D" w:themeColor="text1" w:themeTint="F2"/>
                <w:sz w:val="28"/>
                <w:szCs w:val="28"/>
                <w:vertAlign w:val="baseli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u w:val="single"/>
                <w:vertAlign w:val="baseline"/>
                <w:lang w:val="en-US" w:eastAsia="zh-CN"/>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8"/>
                <w:szCs w:val="28"/>
                <w:vertAlign w:val="baseline"/>
                <w:lang w:val="en-US" w:eastAsia="zh-CN"/>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8"/>
                <w:szCs w:val="28"/>
                <w:u w:val="single"/>
                <w:vertAlign w:val="baseline"/>
                <w:lang w:val="en-US" w:eastAsia="zh-CN"/>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8"/>
                <w:szCs w:val="28"/>
                <w:vertAlign w:val="baseline"/>
                <w:lang w:val="en-US" w:eastAsia="zh-CN"/>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8"/>
                <w:szCs w:val="28"/>
                <w:u w:val="single"/>
                <w:vertAlign w:val="baseline"/>
                <w:lang w:val="en-US" w:eastAsia="zh-CN"/>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8"/>
                <w:szCs w:val="28"/>
                <w:vertAlign w:val="baseline"/>
                <w:lang w:val="en-US" w:eastAsia="zh-CN"/>
                <w14:textFill>
                  <w14:solidFill>
                    <w14:schemeClr w14:val="tx1">
                      <w14:lumMod w14:val="95000"/>
                      <w14:lumOff w14:val="5000"/>
                    </w14:schemeClr>
                  </w14:solidFill>
                </w14:textFill>
              </w:rPr>
              <w:t>日</w:t>
            </w:r>
          </w:p>
        </w:tc>
      </w:tr>
    </w:tbl>
    <w:p w14:paraId="5280AE8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1"/>
          <w:szCs w:val="21"/>
        </w:rPr>
        <w:sectPr>
          <w:footerReference r:id="rId3" w:type="default"/>
          <w:pgSz w:w="11906" w:h="16839"/>
          <w:pgMar w:top="1431" w:right="1684" w:bottom="1377" w:left="1684" w:header="0" w:footer="1212" w:gutter="0"/>
          <w:pgBorders>
            <w:top w:val="none" w:sz="0" w:space="0"/>
            <w:left w:val="none" w:sz="0" w:space="0"/>
            <w:bottom w:val="none" w:sz="0" w:space="0"/>
            <w:right w:val="none" w:sz="0" w:space="0"/>
          </w:pgBorders>
          <w:pgNumType w:fmt="decimal" w:start="1"/>
          <w:cols w:space="720" w:num="1"/>
        </w:sectPr>
      </w:pPr>
    </w:p>
    <w:p w14:paraId="4F0A6F4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设计单位签章页</w:t>
      </w:r>
    </w:p>
    <w:p w14:paraId="1CD16B0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p>
    <w:p w14:paraId="383B1A64">
      <w:pPr>
        <w:keepNext w:val="0"/>
        <w:pageBreakBefore w:val="0"/>
        <w:wordWrap/>
        <w:topLinePunct w:val="0"/>
        <w:bidi w:val="0"/>
        <w:spacing w:line="480" w:lineRule="auto"/>
        <w:ind w:left="0" w:leftChars="0" w:right="0" w:rightChars="0" w:firstLine="0" w:firstLineChars="0"/>
        <w:jc w:val="left"/>
        <w:rPr>
          <w:rFonts w:hint="eastAsia" w:ascii="宋体" w:hAnsi="宋体" w:eastAsia="宋体" w:cs="宋体"/>
          <w:color w:val="auto"/>
          <w:spacing w:val="6"/>
          <w:sz w:val="21"/>
          <w:szCs w:val="21"/>
        </w:rPr>
      </w:pPr>
      <w:r>
        <w:rPr>
          <w:rFonts w:hint="eastAsia" w:ascii="宋体" w:hAnsi="宋体" w:eastAsia="宋体" w:cs="宋体"/>
          <w:color w:val="auto"/>
          <w:spacing w:val="60"/>
          <w:kern w:val="0"/>
          <w:sz w:val="24"/>
          <w:szCs w:val="24"/>
          <w:fitText w:val="1440" w:id="286224994"/>
        </w:rPr>
        <w:t>法定代表</w:t>
      </w:r>
      <w:r>
        <w:rPr>
          <w:rFonts w:hint="eastAsia" w:ascii="宋体" w:hAnsi="宋体" w:eastAsia="宋体" w:cs="宋体"/>
          <w:color w:val="auto"/>
          <w:spacing w:val="0"/>
          <w:kern w:val="0"/>
          <w:sz w:val="24"/>
          <w:szCs w:val="24"/>
          <w:fitText w:val="1440" w:id="286224994"/>
        </w:rPr>
        <w:t>人</w:t>
      </w:r>
      <w:r>
        <w:rPr>
          <w:rFonts w:hint="eastAsia" w:ascii="宋体" w:hAnsi="宋体" w:eastAsia="宋体" w:cs="宋体"/>
          <w:color w:val="auto"/>
          <w:spacing w:val="-2"/>
          <w:sz w:val="24"/>
          <w:szCs w:val="24"/>
        </w:rPr>
        <w:t>：</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7"/>
          <w:sz w:val="21"/>
          <w:szCs w:val="21"/>
          <w:u w:val="single"/>
          <w:lang w:val="en-US" w:eastAsia="zh-CN"/>
        </w:rPr>
        <w:t xml:space="preserve">      </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2"/>
          <w:sz w:val="21"/>
          <w:szCs w:val="21"/>
        </w:rPr>
        <w:t>【印刷体】</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b/>
          <w:bCs/>
          <w:color w:val="auto"/>
          <w:spacing w:val="-2"/>
          <w:sz w:val="21"/>
          <w:szCs w:val="21"/>
        </w:rPr>
        <w:t>【</w:t>
      </w:r>
      <w:r>
        <w:rPr>
          <w:rFonts w:hint="eastAsia" w:ascii="宋体" w:hAnsi="宋体" w:eastAsia="宋体" w:cs="宋体"/>
          <w:b w:val="0"/>
          <w:bCs w:val="0"/>
          <w:color w:val="auto"/>
          <w:spacing w:val="-2"/>
          <w:sz w:val="21"/>
          <w:szCs w:val="21"/>
        </w:rPr>
        <w:t>签</w:t>
      </w:r>
      <w:r>
        <w:rPr>
          <w:rFonts w:hint="eastAsia" w:ascii="宋体" w:hAnsi="宋体" w:eastAsia="宋体" w:cs="宋体"/>
          <w:color w:val="auto"/>
          <w:spacing w:val="-2"/>
          <w:sz w:val="21"/>
          <w:szCs w:val="21"/>
        </w:rPr>
        <w:t>名栏】</w:t>
      </w:r>
      <w:r>
        <w:rPr>
          <w:rFonts w:hint="eastAsia" w:ascii="宋体" w:hAnsi="宋体" w:eastAsia="宋体" w:cs="宋体"/>
          <w:color w:val="auto"/>
          <w:spacing w:val="6"/>
          <w:sz w:val="21"/>
          <w:szCs w:val="21"/>
        </w:rPr>
        <w:t xml:space="preserve"> </w:t>
      </w:r>
    </w:p>
    <w:p w14:paraId="3CB80B6B">
      <w:pPr>
        <w:keepNext w:val="0"/>
        <w:pageBreakBefore w:val="0"/>
        <w:wordWrap/>
        <w:topLinePunct w:val="0"/>
        <w:bidi w:val="0"/>
        <w:spacing w:line="480" w:lineRule="auto"/>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z w:val="24"/>
          <w:szCs w:val="24"/>
        </w:rPr>
        <w:t>技术总负责人：</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7"/>
          <w:sz w:val="21"/>
          <w:szCs w:val="21"/>
          <w:u w:val="single"/>
          <w:lang w:val="en-US" w:eastAsia="zh-CN"/>
        </w:rPr>
        <w:t xml:space="preserve">      </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2"/>
          <w:sz w:val="21"/>
          <w:szCs w:val="21"/>
        </w:rPr>
        <w:t>【印刷体】</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b/>
          <w:bCs/>
          <w:color w:val="auto"/>
          <w:spacing w:val="-2"/>
          <w:sz w:val="21"/>
          <w:szCs w:val="21"/>
        </w:rPr>
        <w:t>【</w:t>
      </w:r>
      <w:r>
        <w:rPr>
          <w:rFonts w:hint="eastAsia" w:ascii="宋体" w:hAnsi="宋体" w:eastAsia="宋体" w:cs="宋体"/>
          <w:b w:val="0"/>
          <w:bCs w:val="0"/>
          <w:color w:val="auto"/>
          <w:spacing w:val="-2"/>
          <w:sz w:val="21"/>
          <w:szCs w:val="21"/>
        </w:rPr>
        <w:t>签</w:t>
      </w:r>
      <w:r>
        <w:rPr>
          <w:rFonts w:hint="eastAsia" w:ascii="宋体" w:hAnsi="宋体" w:eastAsia="宋体" w:cs="宋体"/>
          <w:color w:val="auto"/>
          <w:spacing w:val="-2"/>
          <w:sz w:val="21"/>
          <w:szCs w:val="21"/>
        </w:rPr>
        <w:t>名栏】</w:t>
      </w:r>
      <w:r>
        <w:rPr>
          <w:rFonts w:hint="eastAsia" w:ascii="宋体" w:hAnsi="宋体" w:eastAsia="宋体" w:cs="宋体"/>
          <w:color w:val="auto"/>
          <w:sz w:val="21"/>
          <w:szCs w:val="21"/>
        </w:rPr>
        <w:t xml:space="preserve"> </w:t>
      </w:r>
    </w:p>
    <w:p w14:paraId="5E5C412C">
      <w:pPr>
        <w:keepNext w:val="0"/>
        <w:pageBreakBefore w:val="0"/>
        <w:wordWrap/>
        <w:topLinePunct w:val="0"/>
        <w:bidi w:val="0"/>
        <w:spacing w:line="480" w:lineRule="auto"/>
        <w:ind w:left="0" w:leftChars="0" w:right="0" w:rightChars="0" w:firstLine="0" w:firstLineChars="0"/>
        <w:jc w:val="left"/>
        <w:rPr>
          <w:rFonts w:hint="eastAsia" w:ascii="宋体" w:hAnsi="宋体" w:eastAsia="宋体" w:cs="宋体"/>
          <w:color w:val="auto"/>
          <w:sz w:val="21"/>
          <w:szCs w:val="21"/>
        </w:rPr>
      </w:pPr>
      <w:r>
        <w:rPr>
          <w:rFonts w:hint="eastAsia" w:ascii="宋体" w:hAnsi="宋体" w:eastAsia="宋体" w:cs="宋体"/>
          <w:color w:val="auto"/>
          <w:spacing w:val="60"/>
          <w:kern w:val="0"/>
          <w:sz w:val="24"/>
          <w:szCs w:val="24"/>
          <w:fitText w:val="1440" w:id="1902789267"/>
        </w:rPr>
        <w:t>项目负责</w:t>
      </w:r>
      <w:r>
        <w:rPr>
          <w:rFonts w:hint="eastAsia" w:ascii="宋体" w:hAnsi="宋体" w:eastAsia="宋体" w:cs="宋体"/>
          <w:color w:val="auto"/>
          <w:spacing w:val="0"/>
          <w:kern w:val="0"/>
          <w:sz w:val="24"/>
          <w:szCs w:val="24"/>
          <w:fitText w:val="1440" w:id="1902789267"/>
        </w:rPr>
        <w:t>人</w:t>
      </w:r>
      <w:r>
        <w:rPr>
          <w:rFonts w:hint="eastAsia" w:ascii="宋体" w:hAnsi="宋体" w:eastAsia="宋体" w:cs="宋体"/>
          <w:color w:val="auto"/>
          <w:spacing w:val="-2"/>
          <w:sz w:val="24"/>
          <w:szCs w:val="24"/>
        </w:rPr>
        <w:t>：</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7"/>
          <w:sz w:val="21"/>
          <w:szCs w:val="21"/>
          <w:u w:val="single"/>
          <w:lang w:val="en-US" w:eastAsia="zh-CN"/>
        </w:rPr>
        <w:t xml:space="preserve">      </w:t>
      </w:r>
      <w:r>
        <w:rPr>
          <w:rFonts w:hint="eastAsia" w:ascii="宋体" w:hAnsi="宋体" w:eastAsia="宋体" w:cs="宋体"/>
          <w:color w:val="auto"/>
          <w:spacing w:val="7"/>
          <w:sz w:val="21"/>
          <w:szCs w:val="21"/>
          <w:u w:val="single"/>
        </w:rPr>
        <w:t xml:space="preserve">     </w:t>
      </w:r>
      <w:r>
        <w:rPr>
          <w:rFonts w:hint="eastAsia" w:ascii="宋体" w:hAnsi="宋体" w:eastAsia="宋体" w:cs="宋体"/>
          <w:color w:val="auto"/>
          <w:spacing w:val="-2"/>
          <w:sz w:val="21"/>
          <w:szCs w:val="21"/>
        </w:rPr>
        <w:t>【印刷体】</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b/>
          <w:bCs/>
          <w:color w:val="auto"/>
          <w:spacing w:val="-2"/>
          <w:sz w:val="21"/>
          <w:szCs w:val="21"/>
        </w:rPr>
        <w:t>【</w:t>
      </w:r>
      <w:r>
        <w:rPr>
          <w:rFonts w:hint="eastAsia" w:ascii="宋体" w:hAnsi="宋体" w:eastAsia="宋体" w:cs="宋体"/>
          <w:b w:val="0"/>
          <w:bCs w:val="0"/>
          <w:color w:val="auto"/>
          <w:spacing w:val="-2"/>
          <w:sz w:val="21"/>
          <w:szCs w:val="21"/>
        </w:rPr>
        <w:t>签</w:t>
      </w:r>
      <w:r>
        <w:rPr>
          <w:rFonts w:hint="eastAsia" w:ascii="宋体" w:hAnsi="宋体" w:eastAsia="宋体" w:cs="宋体"/>
          <w:color w:val="auto"/>
          <w:spacing w:val="-2"/>
          <w:sz w:val="21"/>
          <w:szCs w:val="21"/>
        </w:rPr>
        <w:t>名栏】</w:t>
      </w:r>
    </w:p>
    <w:p w14:paraId="08F23DD9">
      <w:pPr>
        <w:keepNext w:val="0"/>
        <w:pageBreakBefore w:val="0"/>
        <w:wordWrap/>
        <w:topLinePunct w:val="0"/>
        <w:bidi w:val="0"/>
        <w:spacing w:line="480"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b/>
          <w:bCs/>
          <w:color w:val="auto"/>
          <w:spacing w:val="-4"/>
          <w:sz w:val="28"/>
          <w:szCs w:val="28"/>
        </w:rPr>
        <w:t>项目组设计人员</w:t>
      </w:r>
    </w:p>
    <w:tbl>
      <w:tblPr>
        <w:tblStyle w:val="15"/>
        <w:tblW w:w="85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290"/>
        <w:gridCol w:w="1410"/>
        <w:gridCol w:w="1875"/>
        <w:gridCol w:w="1845"/>
        <w:gridCol w:w="1602"/>
      </w:tblGrid>
      <w:tr w14:paraId="552FE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jc w:val="center"/>
        </w:trPr>
        <w:tc>
          <w:tcPr>
            <w:tcW w:w="1800" w:type="dxa"/>
            <w:gridSpan w:val="2"/>
            <w:vAlign w:val="center"/>
          </w:tcPr>
          <w:p w14:paraId="503B6F52">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人员组成</w:t>
            </w:r>
          </w:p>
        </w:tc>
        <w:tc>
          <w:tcPr>
            <w:tcW w:w="1410" w:type="dxa"/>
            <w:vAlign w:val="center"/>
          </w:tcPr>
          <w:p w14:paraId="132A6D31">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姓名</w:t>
            </w:r>
          </w:p>
        </w:tc>
        <w:tc>
          <w:tcPr>
            <w:tcW w:w="1875" w:type="dxa"/>
            <w:vAlign w:val="center"/>
          </w:tcPr>
          <w:p w14:paraId="5DABA074">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执业资格</w:t>
            </w:r>
          </w:p>
        </w:tc>
        <w:tc>
          <w:tcPr>
            <w:tcW w:w="1845" w:type="dxa"/>
            <w:vAlign w:val="center"/>
          </w:tcPr>
          <w:p w14:paraId="1C377010">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6"/>
                <w:sz w:val="24"/>
                <w:szCs w:val="24"/>
              </w:rPr>
              <w:t>职称</w:t>
            </w:r>
          </w:p>
        </w:tc>
        <w:tc>
          <w:tcPr>
            <w:tcW w:w="1602" w:type="dxa"/>
            <w:vAlign w:val="center"/>
          </w:tcPr>
          <w:p w14:paraId="15D2DB33">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签名</w:t>
            </w:r>
          </w:p>
        </w:tc>
      </w:tr>
      <w:tr w14:paraId="42FAF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1800" w:type="dxa"/>
            <w:gridSpan w:val="2"/>
            <w:vAlign w:val="center"/>
          </w:tcPr>
          <w:p w14:paraId="2AE315D8">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项目负责人</w:t>
            </w:r>
          </w:p>
        </w:tc>
        <w:tc>
          <w:tcPr>
            <w:tcW w:w="1410" w:type="dxa"/>
            <w:vAlign w:val="center"/>
          </w:tcPr>
          <w:p w14:paraId="64C9DA81">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2ED07B4E">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0F171D28">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602" w:type="dxa"/>
            <w:vAlign w:val="center"/>
          </w:tcPr>
          <w:p w14:paraId="04C63564">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r>
      <w:tr w14:paraId="4EFA3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510" w:type="dxa"/>
            <w:vMerge w:val="restart"/>
            <w:tcBorders>
              <w:bottom w:val="nil"/>
            </w:tcBorders>
            <w:vAlign w:val="center"/>
          </w:tcPr>
          <w:p w14:paraId="35A1A142">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建</w:t>
            </w:r>
          </w:p>
          <w:p w14:paraId="30E655A5">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筑</w:t>
            </w:r>
          </w:p>
        </w:tc>
        <w:tc>
          <w:tcPr>
            <w:tcW w:w="1290" w:type="dxa"/>
            <w:vAlign w:val="center"/>
          </w:tcPr>
          <w:p w14:paraId="0F70736F">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专业负责人</w:t>
            </w:r>
          </w:p>
        </w:tc>
        <w:tc>
          <w:tcPr>
            <w:tcW w:w="1410" w:type="dxa"/>
            <w:vAlign w:val="center"/>
          </w:tcPr>
          <w:p w14:paraId="680930A7">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439C73E0">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64161FDB">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3FD0F956">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r>
      <w:tr w14:paraId="0A95D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510" w:type="dxa"/>
            <w:vMerge w:val="continue"/>
            <w:tcBorders>
              <w:top w:val="nil"/>
            </w:tcBorders>
            <w:vAlign w:val="center"/>
          </w:tcPr>
          <w:p w14:paraId="71236CFE">
            <w:pPr>
              <w:pStyle w:val="18"/>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p>
        </w:tc>
        <w:tc>
          <w:tcPr>
            <w:tcW w:w="1290" w:type="dxa"/>
            <w:vAlign w:val="center"/>
          </w:tcPr>
          <w:p w14:paraId="77195131">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设计人</w:t>
            </w:r>
          </w:p>
        </w:tc>
        <w:tc>
          <w:tcPr>
            <w:tcW w:w="1410" w:type="dxa"/>
            <w:vAlign w:val="center"/>
          </w:tcPr>
          <w:p w14:paraId="214CCDFF">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1A87799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845" w:type="dxa"/>
            <w:vAlign w:val="center"/>
          </w:tcPr>
          <w:p w14:paraId="5A507A68">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602" w:type="dxa"/>
            <w:vAlign w:val="center"/>
          </w:tcPr>
          <w:p w14:paraId="5C74DED7">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3DA6A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510" w:type="dxa"/>
            <w:vMerge w:val="restart"/>
            <w:tcBorders>
              <w:bottom w:val="nil"/>
            </w:tcBorders>
            <w:vAlign w:val="center"/>
          </w:tcPr>
          <w:p w14:paraId="697E437C">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47"/>
                <w:sz w:val="24"/>
                <w:szCs w:val="24"/>
              </w:rPr>
            </w:pPr>
            <w:r>
              <w:rPr>
                <w:rFonts w:hint="eastAsia" w:ascii="宋体" w:hAnsi="宋体" w:eastAsia="宋体" w:cs="宋体"/>
                <w:color w:val="auto"/>
                <w:spacing w:val="-1"/>
                <w:sz w:val="24"/>
                <w:szCs w:val="24"/>
              </w:rPr>
              <w:t>结</w:t>
            </w:r>
          </w:p>
          <w:p w14:paraId="30594713">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构</w:t>
            </w:r>
          </w:p>
        </w:tc>
        <w:tc>
          <w:tcPr>
            <w:tcW w:w="1290" w:type="dxa"/>
            <w:vAlign w:val="center"/>
          </w:tcPr>
          <w:p w14:paraId="6C086AC8">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专业负责人</w:t>
            </w:r>
          </w:p>
        </w:tc>
        <w:tc>
          <w:tcPr>
            <w:tcW w:w="1410" w:type="dxa"/>
            <w:vAlign w:val="center"/>
          </w:tcPr>
          <w:p w14:paraId="19F5746B">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5DC5BCE1">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05EBFA5B">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48F016C7">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569A2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510" w:type="dxa"/>
            <w:vMerge w:val="continue"/>
            <w:tcBorders>
              <w:top w:val="nil"/>
            </w:tcBorders>
            <w:vAlign w:val="center"/>
          </w:tcPr>
          <w:p w14:paraId="3C587D5B">
            <w:pPr>
              <w:pStyle w:val="18"/>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p>
        </w:tc>
        <w:tc>
          <w:tcPr>
            <w:tcW w:w="1290" w:type="dxa"/>
            <w:vAlign w:val="center"/>
          </w:tcPr>
          <w:p w14:paraId="29CDCE39">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设计人</w:t>
            </w:r>
          </w:p>
        </w:tc>
        <w:tc>
          <w:tcPr>
            <w:tcW w:w="1410" w:type="dxa"/>
            <w:vAlign w:val="center"/>
          </w:tcPr>
          <w:p w14:paraId="576D2318">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352D6905">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2A22B0DF">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0FE81C81">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3A29E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510" w:type="dxa"/>
            <w:vMerge w:val="restart"/>
            <w:tcBorders>
              <w:bottom w:val="nil"/>
            </w:tcBorders>
            <w:vAlign w:val="center"/>
          </w:tcPr>
          <w:p w14:paraId="42801DA3">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47"/>
                <w:sz w:val="24"/>
                <w:szCs w:val="24"/>
              </w:rPr>
            </w:pPr>
            <w:r>
              <w:rPr>
                <w:rFonts w:hint="eastAsia" w:ascii="宋体" w:hAnsi="宋体" w:eastAsia="宋体" w:cs="宋体"/>
                <w:color w:val="auto"/>
                <w:spacing w:val="-1"/>
                <w:sz w:val="24"/>
                <w:szCs w:val="24"/>
              </w:rPr>
              <w:t>给</w:t>
            </w:r>
          </w:p>
          <w:p w14:paraId="5EB1A7BB">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47"/>
                <w:sz w:val="24"/>
                <w:szCs w:val="24"/>
              </w:rPr>
            </w:pPr>
            <w:r>
              <w:rPr>
                <w:rFonts w:hint="eastAsia" w:ascii="宋体" w:hAnsi="宋体" w:eastAsia="宋体" w:cs="宋体"/>
                <w:color w:val="auto"/>
                <w:spacing w:val="-1"/>
                <w:sz w:val="24"/>
                <w:szCs w:val="24"/>
              </w:rPr>
              <w:t>排</w:t>
            </w:r>
          </w:p>
          <w:p w14:paraId="736C8F92">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水</w:t>
            </w:r>
          </w:p>
        </w:tc>
        <w:tc>
          <w:tcPr>
            <w:tcW w:w="1290" w:type="dxa"/>
            <w:vAlign w:val="center"/>
          </w:tcPr>
          <w:p w14:paraId="26CCC1F6">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专业负责人</w:t>
            </w:r>
          </w:p>
        </w:tc>
        <w:tc>
          <w:tcPr>
            <w:tcW w:w="1410" w:type="dxa"/>
            <w:vAlign w:val="center"/>
          </w:tcPr>
          <w:p w14:paraId="1839BFD4">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7A80EA19">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3EA1C93A">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5FB1918E">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52614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510" w:type="dxa"/>
            <w:vMerge w:val="continue"/>
            <w:tcBorders>
              <w:top w:val="nil"/>
            </w:tcBorders>
            <w:vAlign w:val="center"/>
          </w:tcPr>
          <w:p w14:paraId="7561A968">
            <w:pPr>
              <w:pStyle w:val="18"/>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p>
        </w:tc>
        <w:tc>
          <w:tcPr>
            <w:tcW w:w="1290" w:type="dxa"/>
            <w:vAlign w:val="center"/>
          </w:tcPr>
          <w:p w14:paraId="3EACF79D">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设计人</w:t>
            </w:r>
          </w:p>
        </w:tc>
        <w:tc>
          <w:tcPr>
            <w:tcW w:w="1410" w:type="dxa"/>
            <w:vAlign w:val="center"/>
          </w:tcPr>
          <w:p w14:paraId="0CA40D31">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0C9ACB66">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2979BD2E">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3E5B5F3C">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51907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510" w:type="dxa"/>
            <w:vMerge w:val="restart"/>
            <w:tcBorders>
              <w:bottom w:val="nil"/>
            </w:tcBorders>
            <w:vAlign w:val="center"/>
          </w:tcPr>
          <w:p w14:paraId="196EB928">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电</w:t>
            </w:r>
          </w:p>
          <w:p w14:paraId="79B709B7">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气</w:t>
            </w:r>
          </w:p>
        </w:tc>
        <w:tc>
          <w:tcPr>
            <w:tcW w:w="1290" w:type="dxa"/>
            <w:vAlign w:val="center"/>
          </w:tcPr>
          <w:p w14:paraId="7DFCA2D8">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专业负责人</w:t>
            </w:r>
          </w:p>
        </w:tc>
        <w:tc>
          <w:tcPr>
            <w:tcW w:w="1410" w:type="dxa"/>
            <w:vAlign w:val="center"/>
          </w:tcPr>
          <w:p w14:paraId="600031ED">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02883BE0">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3F6DADA2">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6DAAEE9A">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5340B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510" w:type="dxa"/>
            <w:vMerge w:val="continue"/>
            <w:tcBorders>
              <w:top w:val="nil"/>
            </w:tcBorders>
            <w:vAlign w:val="center"/>
          </w:tcPr>
          <w:p w14:paraId="2E368667">
            <w:pPr>
              <w:pStyle w:val="18"/>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p>
        </w:tc>
        <w:tc>
          <w:tcPr>
            <w:tcW w:w="1290" w:type="dxa"/>
            <w:vAlign w:val="center"/>
          </w:tcPr>
          <w:p w14:paraId="7CCEE259">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设计人</w:t>
            </w:r>
          </w:p>
        </w:tc>
        <w:tc>
          <w:tcPr>
            <w:tcW w:w="1410" w:type="dxa"/>
            <w:vAlign w:val="center"/>
          </w:tcPr>
          <w:p w14:paraId="27CE74BB">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36610246">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42A11730">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39036B86">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62613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510" w:type="dxa"/>
            <w:vMerge w:val="restart"/>
            <w:tcBorders>
              <w:bottom w:val="nil"/>
            </w:tcBorders>
            <w:vAlign w:val="center"/>
          </w:tcPr>
          <w:p w14:paraId="1C25ACBD">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35"/>
                <w:sz w:val="24"/>
                <w:szCs w:val="24"/>
              </w:rPr>
            </w:pPr>
            <w:r>
              <w:rPr>
                <w:rFonts w:hint="eastAsia" w:ascii="宋体" w:hAnsi="宋体" w:eastAsia="宋体" w:cs="宋体"/>
                <w:color w:val="auto"/>
                <w:spacing w:val="35"/>
                <w:sz w:val="24"/>
                <w:szCs w:val="24"/>
              </w:rPr>
              <w:t>暖</w:t>
            </w:r>
          </w:p>
          <w:p w14:paraId="753C39F7">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5"/>
                <w:sz w:val="24"/>
                <w:szCs w:val="24"/>
              </w:rPr>
              <w:t>通</w:t>
            </w:r>
          </w:p>
        </w:tc>
        <w:tc>
          <w:tcPr>
            <w:tcW w:w="1290" w:type="dxa"/>
            <w:vAlign w:val="center"/>
          </w:tcPr>
          <w:p w14:paraId="2288A12F">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专业负责人</w:t>
            </w:r>
          </w:p>
        </w:tc>
        <w:tc>
          <w:tcPr>
            <w:tcW w:w="1410" w:type="dxa"/>
            <w:vAlign w:val="center"/>
          </w:tcPr>
          <w:p w14:paraId="6E9C43A4">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7BDBD3ED">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3B5E13EC">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232F2312">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7459E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jc w:val="center"/>
        </w:trPr>
        <w:tc>
          <w:tcPr>
            <w:tcW w:w="510" w:type="dxa"/>
            <w:vMerge w:val="continue"/>
            <w:tcBorders>
              <w:top w:val="nil"/>
            </w:tcBorders>
            <w:textDirection w:val="tbRlV"/>
            <w:vAlign w:val="center"/>
          </w:tcPr>
          <w:p w14:paraId="4693E6BB">
            <w:pPr>
              <w:pStyle w:val="18"/>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p>
        </w:tc>
        <w:tc>
          <w:tcPr>
            <w:tcW w:w="1290" w:type="dxa"/>
            <w:vAlign w:val="center"/>
          </w:tcPr>
          <w:p w14:paraId="330778A3">
            <w:pPr>
              <w:keepNext w:val="0"/>
              <w:keepLines w:val="0"/>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设计人</w:t>
            </w:r>
          </w:p>
        </w:tc>
        <w:tc>
          <w:tcPr>
            <w:tcW w:w="1410" w:type="dxa"/>
            <w:vAlign w:val="center"/>
          </w:tcPr>
          <w:p w14:paraId="40ABE3D9">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75" w:type="dxa"/>
            <w:vAlign w:val="center"/>
          </w:tcPr>
          <w:p w14:paraId="1D50E57C">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p>
        </w:tc>
        <w:tc>
          <w:tcPr>
            <w:tcW w:w="1845" w:type="dxa"/>
            <w:vAlign w:val="center"/>
          </w:tcPr>
          <w:p w14:paraId="43807DDE">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602" w:type="dxa"/>
            <w:vAlign w:val="center"/>
          </w:tcPr>
          <w:p w14:paraId="336993DA">
            <w:pPr>
              <w:pStyle w:val="18"/>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宋体" w:hAnsi="宋体" w:eastAsia="宋体" w:cs="宋体"/>
                <w:color w:val="auto"/>
                <w:sz w:val="21"/>
                <w:szCs w:val="21"/>
              </w:rPr>
            </w:pPr>
          </w:p>
        </w:tc>
      </w:tr>
    </w:tbl>
    <w:p w14:paraId="375C76F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0"/>
          <w:szCs w:val="20"/>
        </w:rPr>
      </w:pPr>
      <w:r>
        <w:rPr>
          <w:rFonts w:hint="eastAsia" w:ascii="宋体" w:hAnsi="宋体" w:eastAsia="宋体" w:cs="宋体"/>
          <w:color w:val="auto"/>
          <w:spacing w:val="9"/>
          <w:sz w:val="20"/>
          <w:szCs w:val="20"/>
        </w:rPr>
        <w:t>（所从事专业技术岗位国家或地方相关部门有执业资格准入要求的，提供相应的执业资格）</w:t>
      </w:r>
    </w:p>
    <w:p w14:paraId="714D3AA5">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项目负责人盖章：</w:t>
      </w:r>
    </w:p>
    <w:p w14:paraId="3ACFC66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4A260D1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30D0D47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5674B4E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专业负责人盖章：</w:t>
      </w:r>
    </w:p>
    <w:p w14:paraId="52A57CF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57B3A9E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3620B1F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4CBF45B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工程设计出图专用章：</w:t>
      </w:r>
    </w:p>
    <w:p w14:paraId="60E2F89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1"/>
          <w:szCs w:val="21"/>
        </w:rPr>
        <w:sectPr>
          <w:footerReference r:id="rId4" w:type="default"/>
          <w:pgSz w:w="11906" w:h="16839"/>
          <w:pgMar w:top="1431" w:right="1684" w:bottom="908" w:left="1684" w:header="0" w:footer="907" w:gutter="0"/>
          <w:pgBorders>
            <w:top w:val="none" w:sz="0" w:space="0"/>
            <w:left w:val="none" w:sz="0" w:space="0"/>
            <w:bottom w:val="none" w:sz="0" w:space="0"/>
            <w:right w:val="none" w:sz="0" w:space="0"/>
          </w:pgBorders>
          <w:pgNumType w:fmt="decimal" w:start="1"/>
          <w:cols w:space="720" w:num="1"/>
        </w:sectPr>
      </w:pPr>
    </w:p>
    <w:p w14:paraId="4594E89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设计单位资质证书（原件彩色扫描）</w:t>
      </w:r>
    </w:p>
    <w:p w14:paraId="317869D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1"/>
          <w:sz w:val="21"/>
          <w:szCs w:val="21"/>
        </w:rPr>
      </w:pPr>
    </w:p>
    <w:p w14:paraId="080D136A">
      <w:pPr>
        <w:keepNext w:val="0"/>
        <w:pageBreakBefore w:val="0"/>
        <w:wordWrap/>
        <w:topLinePunct w:val="0"/>
        <w:bidi w:val="0"/>
        <w:spacing w:line="288" w:lineRule="auto"/>
        <w:ind w:right="0" w:rightChars="0"/>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br w:type="page"/>
      </w:r>
    </w:p>
    <w:p w14:paraId="7DB9B39D">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1E8D653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1FC2DFEF">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73338B1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0983037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2C95E61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6B3F803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pPr>
    </w:p>
    <w:p w14:paraId="72DA1F2B">
      <w:pPr>
        <w:keepNext w:val="0"/>
        <w:pageBreakBefore w:val="0"/>
        <w:wordWrap/>
        <w:topLinePunct w:val="0"/>
        <w:bidi w:val="0"/>
        <w:spacing w:line="288" w:lineRule="auto"/>
        <w:ind w:left="0" w:leftChars="0" w:right="0" w:rightChars="0" w:firstLine="0" w:firstLineChars="0"/>
        <w:jc w:val="center"/>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r>
        <w:rPr>
          <w:rFonts w:hint="eastAsia" w:ascii="黑体" w:hAnsi="黑体" w:eastAsia="黑体" w:cs="黑体"/>
          <w:color w:val="0D0D0D" w:themeColor="text1" w:themeTint="F2"/>
          <w:spacing w:val="-2"/>
          <w:sz w:val="36"/>
          <w:szCs w:val="36"/>
          <w14:textFill>
            <w14:solidFill>
              <w14:schemeClr w14:val="tx1">
                <w14:lumMod w14:val="95000"/>
                <w14:lumOff w14:val="5000"/>
              </w14:schemeClr>
            </w14:solidFill>
          </w14:textFill>
        </w:rPr>
        <w:t>消防设计文件目录</w:t>
      </w:r>
    </w:p>
    <w:p w14:paraId="34EA9E92">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27D21AE3">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425E33C2">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32F46348">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649197C5">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40785FDF">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6502B8CA">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347801DD">
      <w:pPr>
        <w:keepNext w:val="0"/>
        <w:pageBreakBefore w:val="0"/>
        <w:wordWrap/>
        <w:topLinePunct w:val="0"/>
        <w:bidi w:val="0"/>
        <w:spacing w:line="288" w:lineRule="auto"/>
        <w:ind w:left="0" w:leftChars="0" w:right="0" w:rightChars="0" w:firstLine="0" w:firstLineChars="0"/>
        <w:jc w:val="left"/>
        <w:rPr>
          <w:rFonts w:hint="eastAsia" w:ascii="黑体" w:hAnsi="黑体" w:eastAsia="黑体" w:cs="黑体"/>
          <w:color w:val="0D0D0D" w:themeColor="text1" w:themeTint="F2"/>
          <w:sz w:val="21"/>
          <w:szCs w:val="21"/>
          <w14:textFill>
            <w14:solidFill>
              <w14:schemeClr w14:val="tx1">
                <w14:lumMod w14:val="95000"/>
                <w14:lumOff w14:val="5000"/>
              </w14:schemeClr>
            </w14:solidFill>
          </w14:textFill>
        </w:rPr>
      </w:pPr>
    </w:p>
    <w:p w14:paraId="7AEC4503">
      <w:pPr>
        <w:keepNext w:val="0"/>
        <w:pageBreakBefore w:val="0"/>
        <w:wordWrap/>
        <w:topLinePunct w:val="0"/>
        <w:bidi w:val="0"/>
        <w:spacing w:line="480" w:lineRule="auto"/>
        <w:ind w:left="0" w:leftChars="0" w:right="0" w:rightChars="0" w:firstLine="2520" w:firstLineChars="900"/>
        <w:jc w:val="left"/>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t>第一部分 消防设计说明书</w:t>
      </w:r>
    </w:p>
    <w:p w14:paraId="55207A1A">
      <w:pPr>
        <w:keepNext w:val="0"/>
        <w:pageBreakBefore w:val="0"/>
        <w:wordWrap/>
        <w:topLinePunct w:val="0"/>
        <w:bidi w:val="0"/>
        <w:spacing w:line="480" w:lineRule="auto"/>
        <w:ind w:left="0" w:leftChars="0" w:right="0" w:rightChars="0" w:firstLine="2520" w:firstLineChars="900"/>
        <w:jc w:val="left"/>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t>第二部分 消防设计图纸</w:t>
      </w:r>
    </w:p>
    <w:p w14:paraId="59F91494">
      <w:pPr>
        <w:keepNext w:val="0"/>
        <w:pageBreakBefore w:val="0"/>
        <w:wordWrap/>
        <w:topLinePunct w:val="0"/>
        <w:bidi w:val="0"/>
        <w:spacing w:line="480" w:lineRule="auto"/>
        <w:ind w:left="0" w:leftChars="0" w:right="0" w:rightChars="0" w:firstLine="2520" w:firstLineChars="900"/>
        <w:jc w:val="left"/>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t>第三部分 计算书</w:t>
      </w:r>
    </w:p>
    <w:p w14:paraId="43976980">
      <w:pPr>
        <w:keepNext w:val="0"/>
        <w:pageBreakBefore w:val="0"/>
        <w:wordWrap/>
        <w:topLinePunct w:val="0"/>
        <w:bidi w:val="0"/>
        <w:spacing w:line="480" w:lineRule="auto"/>
        <w:ind w:left="0" w:leftChars="0" w:right="0" w:rightChars="0" w:firstLine="2520" w:firstLineChars="900"/>
        <w:jc w:val="left"/>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pPr>
      <w:r>
        <w:rPr>
          <w:rFonts w:hint="eastAsia" w:ascii="黑体" w:hAnsi="黑体" w:eastAsia="黑体" w:cs="黑体"/>
          <w:color w:val="0D0D0D" w:themeColor="text1" w:themeTint="F2"/>
          <w:sz w:val="28"/>
          <w:szCs w:val="28"/>
          <w14:textFill>
            <w14:solidFill>
              <w14:schemeClr w14:val="tx1">
                <w14:lumMod w14:val="95000"/>
                <w14:lumOff w14:val="5000"/>
              </w14:schemeClr>
            </w14:solidFill>
          </w14:textFill>
        </w:rPr>
        <w:t>第四部分 相关资料文件</w:t>
      </w:r>
    </w:p>
    <w:p w14:paraId="22B7376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69D462F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13E4CE8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4BD4117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21AF0F2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sectPr>
          <w:footerReference r:id="rId5" w:type="default"/>
          <w:pgSz w:w="11906" w:h="16839"/>
          <w:pgMar w:top="1431" w:right="1785" w:bottom="1152" w:left="1785" w:header="0" w:footer="1033" w:gutter="0"/>
          <w:pgBorders>
            <w:top w:val="none" w:sz="0" w:space="0"/>
            <w:left w:val="none" w:sz="0" w:space="0"/>
            <w:bottom w:val="none" w:sz="0" w:space="0"/>
            <w:right w:val="none" w:sz="0" w:space="0"/>
          </w:pgBorders>
          <w:pgNumType w:fmt="decimal"/>
          <w:cols w:equalWidth="0" w:num="1">
            <w:col w:w="8335"/>
          </w:cols>
        </w:sectPr>
      </w:pPr>
    </w:p>
    <w:p w14:paraId="1BA8DF0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pPr>
    </w:p>
    <w:p w14:paraId="56F7AEC5">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pPr>
    </w:p>
    <w:p w14:paraId="005748C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pPr>
    </w:p>
    <w:p w14:paraId="7B55F99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pPr>
    </w:p>
    <w:p w14:paraId="522D8D5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pPr>
    </w:p>
    <w:p w14:paraId="75F47683">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36"/>
          <w:szCs w:val="36"/>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t>第一部分</w:t>
      </w:r>
      <w:r>
        <w:rPr>
          <w:rFonts w:hint="eastAsia" w:ascii="宋体" w:hAnsi="宋体" w:eastAsia="宋体" w:cs="宋体"/>
          <w:color w:val="0D0D0D" w:themeColor="text1" w:themeTint="F2"/>
          <w:spacing w:val="10"/>
          <w:sz w:val="36"/>
          <w:szCs w:val="36"/>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t>消防设计说明书</w:t>
      </w:r>
    </w:p>
    <w:p w14:paraId="3E736DB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6D459FB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68227B9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2F52086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3B38F6E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4F79183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3504F44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7CFBDBB6">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1 总说明</w:t>
      </w:r>
    </w:p>
    <w:p w14:paraId="45DE5466">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2 建筑专业</w:t>
      </w:r>
    </w:p>
    <w:p w14:paraId="709E9357">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3 结构专业（</w:t>
      </w:r>
      <w:r>
        <w:rPr>
          <w:rFonts w:hint="eastAsia" w:ascii="宋体" w:hAnsi="宋体" w:eastAsia="宋体" w:cs="宋体"/>
          <w:color w:val="FF0000"/>
          <w:sz w:val="28"/>
          <w:szCs w:val="28"/>
          <w:lang w:val="en-US" w:eastAsia="zh-CN"/>
        </w:rPr>
        <w:t>不涉及</w:t>
      </w: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w:t>
      </w:r>
    </w:p>
    <w:p w14:paraId="3101BFCD">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4 给水排水专业</w:t>
      </w:r>
    </w:p>
    <w:p w14:paraId="74DEC9B3">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5 电气专业</w:t>
      </w:r>
    </w:p>
    <w:p w14:paraId="5544E2BE">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6 暖通专业</w:t>
      </w:r>
    </w:p>
    <w:p w14:paraId="103F0BD6">
      <w:pPr>
        <w:keepNext w:val="0"/>
        <w:pageBreakBefore w:val="0"/>
        <w:wordWrap/>
        <w:topLinePunct w:val="0"/>
        <w:bidi w:val="0"/>
        <w:spacing w:line="480" w:lineRule="auto"/>
        <w:ind w:left="0" w:leftChars="0" w:right="0" w:rightChars="0" w:firstLine="2738" w:firstLineChars="97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7 设计变更（</w:t>
      </w:r>
      <w:r>
        <w:rPr>
          <w:rFonts w:hint="eastAsia" w:ascii="宋体" w:hAnsi="宋体" w:eastAsia="宋体" w:cs="宋体"/>
          <w:color w:val="FF0000"/>
          <w:sz w:val="28"/>
          <w:szCs w:val="28"/>
          <w:lang w:val="en-US" w:eastAsia="zh-CN"/>
        </w:rPr>
        <w:t>不涉及</w:t>
      </w: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w:t>
      </w:r>
    </w:p>
    <w:p w14:paraId="03B220D4">
      <w:pPr>
        <w:keepNext w:val="0"/>
        <w:pageBreakBefore w:val="0"/>
        <w:wordWrap/>
        <w:topLinePunct w:val="0"/>
        <w:bidi w:val="0"/>
        <w:spacing w:line="480" w:lineRule="auto"/>
        <w:ind w:left="0" w:leftChars="0" w:right="0" w:rightChars="0" w:firstLine="2738" w:firstLineChars="978"/>
        <w:jc w:val="left"/>
        <w:rPr>
          <w:rFonts w:hint="default"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8 室内装饰装修专项设计（</w:t>
      </w:r>
      <w:r>
        <w:rPr>
          <w:rFonts w:hint="eastAsia" w:ascii="宋体" w:hAnsi="宋体" w:eastAsia="宋体" w:cs="宋体"/>
          <w:color w:val="FF0000"/>
          <w:sz w:val="28"/>
          <w:szCs w:val="28"/>
          <w:lang w:val="en-US" w:eastAsia="zh-CN"/>
        </w:rPr>
        <w:t>不涉及</w:t>
      </w: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w:t>
      </w:r>
    </w:p>
    <w:p w14:paraId="230DD25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p w14:paraId="11ECBCB1">
      <w:pPr>
        <w:keepNext w:val="0"/>
        <w:pageBreakBefore w:val="0"/>
        <w:wordWrap/>
        <w:topLinePunct w:val="0"/>
        <w:bidi w:val="0"/>
        <w:spacing w:line="288" w:lineRule="auto"/>
        <w:ind w:right="0" w:rightChars="0"/>
        <w:rPr>
          <w:rFonts w:hint="eastAsia" w:ascii="宋体" w:hAnsi="宋体" w:eastAsia="宋体" w:cs="宋体"/>
          <w:color w:val="0D0D0D" w:themeColor="text1" w:themeTint="F2"/>
          <w:spacing w:val="-3"/>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eastAsia="zh-CN"/>
          <w14:textFill>
            <w14:solidFill>
              <w14:schemeClr w14:val="tx1">
                <w14:lumMod w14:val="95000"/>
                <w14:lumOff w14:val="5000"/>
              </w14:schemeClr>
            </w14:solidFill>
          </w14:textFill>
        </w:rPr>
        <w:br w:type="page"/>
      </w:r>
    </w:p>
    <w:p w14:paraId="3C7BFBE1">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z w:val="28"/>
          <w:szCs w:val="28"/>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1</w:t>
      </w:r>
      <w:r>
        <w:rPr>
          <w:rFonts w:hint="eastAsia" w:ascii="宋体" w:hAnsi="宋体" w:eastAsia="宋体" w:cs="宋体"/>
          <w:b/>
          <w:bCs/>
          <w:color w:val="0D0D0D" w:themeColor="text1" w:themeTint="F2"/>
          <w:spacing w:val="17"/>
          <w:sz w:val="28"/>
          <w:szCs w:val="28"/>
          <w14:textFill>
            <w14:solidFill>
              <w14:schemeClr w14:val="tx1">
                <w14:lumMod w14:val="95000"/>
                <w14:lumOff w14:val="5000"/>
              </w14:schemeClr>
            </w14:solidFill>
          </w14:textFill>
        </w:rPr>
        <w:t xml:space="preserve"> </w:t>
      </w: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总说明</w:t>
      </w:r>
    </w:p>
    <w:p w14:paraId="7B7ACCF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31150A1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1.1</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设计依据</w:t>
      </w:r>
    </w:p>
    <w:p w14:paraId="0F31451D">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1.1.1</w:t>
      </w:r>
      <w:r>
        <w:rPr>
          <w:rFonts w:hint="eastAsia" w:ascii="宋体" w:hAnsi="宋体" w:eastAsia="宋体" w:cs="宋体"/>
          <w:color w:val="0D0D0D" w:themeColor="text1" w:themeTint="F2"/>
          <w:spacing w:val="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工程基础资料</w:t>
      </w:r>
    </w:p>
    <w:p w14:paraId="70352FD1">
      <w:pPr>
        <w:keepNext w:val="0"/>
        <w:pageBreakBefore w:val="0"/>
        <w:wordWrap/>
        <w:topLinePunct w:val="0"/>
        <w:bidi w:val="0"/>
        <w:spacing w:line="288" w:lineRule="auto"/>
        <w:ind w:left="0" w:leftChars="0" w:right="0" w:rightChars="0" w:firstLine="418" w:firstLineChars="182"/>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工程立项批文</w:t>
      </w:r>
    </w:p>
    <w:p w14:paraId="43784D4D">
      <w:pPr>
        <w:keepNext w:val="0"/>
        <w:pageBreakBefore w:val="0"/>
        <w:wordWrap/>
        <w:topLinePunct w:val="0"/>
        <w:bidi w:val="0"/>
        <w:spacing w:line="288" w:lineRule="auto"/>
        <w:ind w:left="0" w:leftChars="0" w:right="0" w:rightChars="0" w:firstLine="422" w:firstLineChars="182"/>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规划要点及红线图</w:t>
      </w:r>
    </w:p>
    <w:p w14:paraId="793A5DDC">
      <w:pPr>
        <w:keepNext w:val="0"/>
        <w:pageBreakBefore w:val="0"/>
        <w:wordWrap/>
        <w:topLinePunct w:val="0"/>
        <w:bidi w:val="0"/>
        <w:spacing w:line="288" w:lineRule="auto"/>
        <w:ind w:left="0" w:leftChars="0" w:right="0" w:rightChars="0" w:firstLine="425" w:firstLineChars="182"/>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用地周边道路及市政设施条件</w:t>
      </w:r>
    </w:p>
    <w:p w14:paraId="4F2FA76C">
      <w:pPr>
        <w:keepNext w:val="0"/>
        <w:pageBreakBefore w:val="0"/>
        <w:wordWrap/>
        <w:topLinePunct w:val="0"/>
        <w:bidi w:val="0"/>
        <w:spacing w:line="288" w:lineRule="auto"/>
        <w:ind w:left="0" w:leftChars="0" w:right="0" w:rightChars="0" w:firstLine="429" w:firstLineChars="182"/>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既有建筑改造消防技术可行性评估报告</w:t>
      </w:r>
    </w:p>
    <w:p w14:paraId="7236C6A7">
      <w:pPr>
        <w:keepNext w:val="0"/>
        <w:pageBreakBefore w:val="0"/>
        <w:wordWrap/>
        <w:topLinePunct w:val="0"/>
        <w:bidi w:val="0"/>
        <w:spacing w:line="288" w:lineRule="auto"/>
        <w:ind w:left="0" w:leftChars="0" w:right="0" w:rightChars="0" w:firstLine="422" w:firstLineChars="182"/>
        <w:jc w:val="left"/>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□既有建筑安全鉴定报告</w:t>
      </w:r>
    </w:p>
    <w:p w14:paraId="7033113E">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原规划</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批准书</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r>
        <w:rPr>
          <w:rFonts w:hint="eastAsia" w:ascii="宋体" w:hAnsi="宋体" w:eastAsia="宋体" w:cs="宋体"/>
          <w:color w:val="FF0000"/>
          <w:sz w:val="24"/>
          <w:szCs w:val="24"/>
          <w:lang w:val="en-US" w:eastAsia="zh-CN"/>
        </w:rPr>
        <w:t>文件</w:t>
      </w:r>
      <w:r>
        <w:rPr>
          <w:rFonts w:hint="eastAsia" w:ascii="宋体" w:hAnsi="宋体" w:eastAsia="宋体" w:cs="宋体"/>
          <w:color w:val="FF0000"/>
          <w:sz w:val="24"/>
          <w:szCs w:val="24"/>
        </w:rPr>
        <w:t>号</w:t>
      </w:r>
      <w:r>
        <w:rPr>
          <w:rFonts w:hint="eastAsia" w:ascii="宋体" w:hAnsi="宋体" w:eastAsia="宋体" w:cs="宋体"/>
          <w:color w:val="FF0000"/>
          <w:spacing w:val="-88"/>
          <w:sz w:val="24"/>
          <w:szCs w:val="24"/>
        </w:rPr>
        <w:t>：</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  </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p>
    <w:p w14:paraId="3A6FEE81">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☑原建设工程规划许可证（许可号</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r>
        <w:rPr>
          <w:rFonts w:hint="eastAsia" w:ascii="宋体" w:hAnsi="宋体" w:eastAsia="宋体" w:cs="宋体"/>
          <w:color w:val="FF0000"/>
          <w:sz w:val="24"/>
          <w:szCs w:val="24"/>
          <w:u w:val="single"/>
        </w:rPr>
        <w:t xml:space="preserve">  建字第20080613  </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p>
    <w:p w14:paraId="731D8BD3">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□原工程施工图设计文件审查合格书（</w:t>
      </w:r>
      <w:r>
        <w:rPr>
          <w:rFonts w:hint="eastAsia" w:ascii="宋体" w:hAnsi="宋体" w:eastAsia="宋体" w:cs="宋体"/>
          <w:color w:val="FF0000"/>
          <w:sz w:val="24"/>
          <w:szCs w:val="24"/>
        </w:rPr>
        <w:t>编号</w:t>
      </w:r>
      <w:r>
        <w:rPr>
          <w:rFonts w:hint="eastAsia" w:ascii="宋体" w:hAnsi="宋体" w:eastAsia="宋体" w:cs="宋体"/>
          <w:color w:val="FF0000"/>
          <w:spacing w:val="-88"/>
          <w:sz w:val="24"/>
          <w:szCs w:val="24"/>
        </w:rPr>
        <w:t>：</w:t>
      </w:r>
      <w:r>
        <w:rPr>
          <w:rFonts w:hint="eastAsia" w:ascii="宋体" w:hAnsi="宋体" w:eastAsia="宋体" w:cs="宋体"/>
          <w:color w:val="FF0000"/>
          <w:sz w:val="24"/>
          <w:szCs w:val="24"/>
          <w:u w:val="single"/>
        </w:rPr>
        <w:t xml:space="preserve">   /    </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p>
    <w:p w14:paraId="1074B845">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pacing w:val="-88"/>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□原工程</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竣工</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图</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/有资质单位提供的恢复图或鉴定图</w:t>
      </w:r>
    </w:p>
    <w:p w14:paraId="4F8A09FF">
      <w:pPr>
        <w:keepNext w:val="0"/>
        <w:pageBreakBefore w:val="0"/>
        <w:wordWrap/>
        <w:topLinePunct w:val="0"/>
        <w:bidi w:val="0"/>
        <w:spacing w:line="288" w:lineRule="auto"/>
        <w:ind w:left="0" w:leftChars="0" w:right="0" w:rightChars="0" w:firstLine="425" w:firstLineChars="182"/>
        <w:jc w:val="left"/>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原建设工程竣工验收备案表</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/原建筑工程消防验收意见书</w:t>
      </w:r>
    </w:p>
    <w:p w14:paraId="300AF9CC">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（编号</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苏公消验（2009)第0117号</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p>
    <w:p w14:paraId="7DAE6EA6">
      <w:pPr>
        <w:keepNext w:val="0"/>
        <w:pageBreakBefore w:val="0"/>
        <w:wordWrap/>
        <w:topLinePunct w:val="0"/>
        <w:bidi w:val="0"/>
        <w:spacing w:line="288" w:lineRule="auto"/>
        <w:ind w:left="0" w:leftChars="0" w:right="0" w:rightChars="0" w:firstLine="436" w:firstLineChars="182"/>
        <w:jc w:val="left"/>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□改造后建设工程规划许可证（</w:t>
      </w:r>
      <w:r>
        <w:rPr>
          <w:rFonts w:hint="eastAsia" w:ascii="宋体" w:hAnsi="宋体" w:eastAsia="宋体" w:cs="宋体"/>
          <w:color w:val="FF0000"/>
          <w:sz w:val="24"/>
          <w:szCs w:val="24"/>
        </w:rPr>
        <w:t>许可号</w:t>
      </w:r>
      <w:r>
        <w:rPr>
          <w:rFonts w:hint="eastAsia" w:ascii="宋体" w:hAnsi="宋体" w:eastAsia="宋体" w:cs="宋体"/>
          <w:color w:val="FF0000"/>
          <w:spacing w:val="-88"/>
          <w:sz w:val="24"/>
          <w:szCs w:val="24"/>
        </w:rPr>
        <w:t>：</w:t>
      </w:r>
      <w:r>
        <w:rPr>
          <w:rFonts w:hint="eastAsia" w:ascii="宋体" w:hAnsi="宋体" w:eastAsia="宋体" w:cs="宋体"/>
          <w:color w:val="FF0000"/>
          <w:sz w:val="24"/>
          <w:szCs w:val="24"/>
          <w:u w:val="single"/>
        </w:rPr>
        <w:t xml:space="preserve">   /    </w:t>
      </w:r>
      <w:r>
        <w:rPr>
          <w:rFonts w:hint="eastAsia" w:ascii="宋体" w:hAnsi="宋体" w:eastAsia="宋体" w:cs="宋体"/>
          <w:color w:val="0D0D0D" w:themeColor="text1" w:themeTint="F2"/>
          <w:spacing w:val="-88"/>
          <w:sz w:val="24"/>
          <w:szCs w:val="24"/>
          <w14:textFill>
            <w14:solidFill>
              <w14:schemeClr w14:val="tx1">
                <w14:lumMod w14:val="95000"/>
                <w14:lumOff w14:val="5000"/>
              </w14:schemeClr>
            </w14:solidFill>
          </w14:textFill>
        </w:rPr>
        <w:t>）</w:t>
      </w:r>
    </w:p>
    <w:p w14:paraId="1D41B71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1.1.2</w:t>
      </w:r>
      <w:r>
        <w:rPr>
          <w:rFonts w:hint="eastAsia" w:ascii="宋体" w:hAnsi="宋体" w:eastAsia="宋体" w:cs="宋体"/>
          <w:color w:val="0D0D0D" w:themeColor="text1" w:themeTint="F2"/>
          <w:spacing w:val="2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设计执行的</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消防相关</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主要法律法规</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情况</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9"/>
        <w:gridCol w:w="4819"/>
      </w:tblGrid>
      <w:tr w14:paraId="24F13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43DA9134">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2"/>
                <w:sz w:val="21"/>
                <w:szCs w:val="21"/>
                <w:vertAlign w:val="baseline"/>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2"/>
                <w:sz w:val="21"/>
                <w:szCs w:val="21"/>
                <w14:textFill>
                  <w14:solidFill>
                    <w14:schemeClr w14:val="tx1">
                      <w14:lumMod w14:val="95000"/>
                      <w14:lumOff w14:val="5000"/>
                    </w14:schemeClr>
                  </w14:solidFill>
                </w14:textFill>
              </w:rPr>
              <w:t>原</w:t>
            </w:r>
            <w:r>
              <w:rPr>
                <w:rFonts w:hint="eastAsia" w:ascii="宋体" w:hAnsi="宋体" w:eastAsia="宋体" w:cs="宋体"/>
                <w:b/>
                <w:bCs/>
                <w:color w:val="0D0D0D" w:themeColor="text1" w:themeTint="F2"/>
                <w:spacing w:val="-2"/>
                <w:sz w:val="21"/>
                <w:szCs w:val="21"/>
                <w:lang w:val="en-US" w:eastAsia="zh-CN"/>
                <w14:textFill>
                  <w14:solidFill>
                    <w14:schemeClr w14:val="tx1">
                      <w14:lumMod w14:val="95000"/>
                      <w14:lumOff w14:val="5000"/>
                    </w14:schemeClr>
                  </w14:solidFill>
                </w14:textFill>
              </w:rPr>
              <w:t>建筑</w:t>
            </w:r>
            <w:r>
              <w:rPr>
                <w:rFonts w:hint="eastAsia" w:ascii="宋体" w:hAnsi="宋体" w:eastAsia="宋体" w:cs="宋体"/>
                <w:b/>
                <w:bCs/>
                <w:color w:val="0D0D0D" w:themeColor="text1" w:themeTint="F2"/>
                <w:spacing w:val="-2"/>
                <w:sz w:val="21"/>
                <w:szCs w:val="21"/>
                <w14:textFill>
                  <w14:solidFill>
                    <w14:schemeClr w14:val="tx1">
                      <w14:lumMod w14:val="95000"/>
                      <w14:lumOff w14:val="5000"/>
                    </w14:schemeClr>
                  </w14:solidFill>
                </w14:textFill>
              </w:rPr>
              <w:t>设计执行的主要法律法规</w:t>
            </w:r>
          </w:p>
        </w:tc>
        <w:tc>
          <w:tcPr>
            <w:tcW w:w="4819" w:type="dxa"/>
            <w:vAlign w:val="center"/>
          </w:tcPr>
          <w:p w14:paraId="748A2E5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2"/>
                <w:sz w:val="21"/>
                <w:szCs w:val="21"/>
                <w:vertAlign w:val="baseline"/>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2"/>
                <w:sz w:val="21"/>
                <w:szCs w:val="21"/>
                <w:lang w:val="en-US" w:eastAsia="zh-CN"/>
                <w14:textFill>
                  <w14:solidFill>
                    <w14:schemeClr w14:val="tx1">
                      <w14:lumMod w14:val="95000"/>
                      <w14:lumOff w14:val="5000"/>
                    </w14:schemeClr>
                  </w14:solidFill>
                </w14:textFill>
              </w:rPr>
              <w:t>本次</w:t>
            </w:r>
            <w:r>
              <w:rPr>
                <w:rFonts w:hint="eastAsia" w:ascii="宋体" w:hAnsi="宋体" w:eastAsia="宋体" w:cs="宋体"/>
                <w:b/>
                <w:bCs/>
                <w:color w:val="0D0D0D" w:themeColor="text1" w:themeTint="F2"/>
                <w:spacing w:val="-2"/>
                <w:sz w:val="21"/>
                <w:szCs w:val="21"/>
                <w14:textFill>
                  <w14:solidFill>
                    <w14:schemeClr w14:val="tx1">
                      <w14:lumMod w14:val="95000"/>
                      <w14:lumOff w14:val="5000"/>
                    </w14:schemeClr>
                  </w14:solidFill>
                </w14:textFill>
              </w:rPr>
              <w:t>改造设计执行的主要法律法规</w:t>
            </w:r>
          </w:p>
        </w:tc>
      </w:tr>
      <w:tr w14:paraId="0A946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6501E8F6">
            <w:pPr>
              <w:keepNext w:val="0"/>
              <w:pageBreakBefore w:val="0"/>
              <w:widowControl w:val="0"/>
              <w:numPr>
                <w:ilvl w:val="0"/>
                <w:numId w:val="0"/>
              </w:numPr>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《建筑设计防火规范》(GB5001</w:t>
            </w:r>
            <w:r>
              <w:rPr>
                <w:rFonts w:hint="eastAsia" w:ascii="宋体" w:hAnsi="宋体" w:eastAsia="宋体" w:cs="宋体"/>
                <w:color w:val="FF0000"/>
                <w:spacing w:val="-2"/>
                <w:sz w:val="20"/>
                <w:szCs w:val="20"/>
                <w:lang w:val="en-US" w:eastAsia="zh-CN"/>
              </w:rPr>
              <w:t>6</w:t>
            </w:r>
            <w:r>
              <w:rPr>
                <w:rFonts w:hint="eastAsia" w:ascii="宋体" w:hAnsi="宋体" w:eastAsia="宋体" w:cs="宋体"/>
                <w:color w:val="FF0000"/>
                <w:spacing w:val="-2"/>
                <w:sz w:val="20"/>
                <w:szCs w:val="20"/>
                <w:lang w:val="zh-CN"/>
              </w:rPr>
              <w:t>-20</w:t>
            </w:r>
            <w:r>
              <w:rPr>
                <w:rFonts w:hint="eastAsia" w:ascii="宋体" w:hAnsi="宋体" w:eastAsia="宋体" w:cs="宋体"/>
                <w:color w:val="FF0000"/>
                <w:spacing w:val="-2"/>
                <w:sz w:val="20"/>
                <w:szCs w:val="20"/>
                <w:lang w:val="en-US" w:eastAsia="zh-CN"/>
              </w:rPr>
              <w:t>06</w:t>
            </w:r>
            <w:r>
              <w:rPr>
                <w:rFonts w:hint="eastAsia" w:ascii="宋体" w:hAnsi="宋体" w:eastAsia="宋体" w:cs="宋体"/>
                <w:color w:val="FF0000"/>
                <w:spacing w:val="-2"/>
                <w:sz w:val="20"/>
                <w:szCs w:val="20"/>
                <w:lang w:val="zh-CN"/>
              </w:rPr>
              <w:t>)</w:t>
            </w:r>
          </w:p>
        </w:tc>
        <w:tc>
          <w:tcPr>
            <w:tcW w:w="4819" w:type="dxa"/>
            <w:vAlign w:val="center"/>
          </w:tcPr>
          <w:p w14:paraId="4F86DD66">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vertAlign w:val="baseline"/>
              </w:rPr>
            </w:pPr>
            <w:r>
              <w:rPr>
                <w:rFonts w:hint="eastAsia" w:ascii="宋体" w:hAnsi="宋体" w:eastAsia="宋体" w:cs="宋体"/>
                <w:color w:val="FF0000"/>
                <w:spacing w:val="-2"/>
                <w:sz w:val="20"/>
                <w:szCs w:val="20"/>
              </w:rPr>
              <w:t>《建筑设计防火规范》GB50016-2014（2018年版）</w:t>
            </w:r>
          </w:p>
        </w:tc>
      </w:tr>
      <w:tr w14:paraId="1E95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73236A37">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vertAlign w:val="baseline"/>
              </w:rPr>
            </w:pPr>
            <w:r>
              <w:rPr>
                <w:rFonts w:hint="eastAsia" w:ascii="宋体" w:hAnsi="宋体" w:eastAsia="宋体" w:cs="宋体"/>
                <w:color w:val="FF0000"/>
                <w:spacing w:val="-2"/>
                <w:sz w:val="20"/>
                <w:szCs w:val="20"/>
                <w:lang w:val="zh-CN"/>
              </w:rPr>
              <w:t>《民用建筑设计通则》GB 50352-2005</w:t>
            </w:r>
          </w:p>
        </w:tc>
        <w:tc>
          <w:tcPr>
            <w:tcW w:w="4819" w:type="dxa"/>
            <w:vAlign w:val="center"/>
          </w:tcPr>
          <w:p w14:paraId="4EC84967">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vertAlign w:val="baseline"/>
              </w:rPr>
            </w:pPr>
            <w:r>
              <w:rPr>
                <w:rFonts w:hint="eastAsia" w:ascii="宋体" w:hAnsi="宋体" w:eastAsia="宋体" w:cs="宋体"/>
                <w:color w:val="FF0000"/>
                <w:spacing w:val="-2"/>
                <w:sz w:val="20"/>
                <w:szCs w:val="20"/>
              </w:rPr>
              <w:t>《民用建筑设计统一标准》GB 50352-2019</w:t>
            </w:r>
          </w:p>
        </w:tc>
      </w:tr>
      <w:tr w14:paraId="04F3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0C7BBAD4">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《商店建筑设计规范》JGJ48-88</w:t>
            </w:r>
          </w:p>
        </w:tc>
        <w:tc>
          <w:tcPr>
            <w:tcW w:w="4819" w:type="dxa"/>
            <w:vAlign w:val="center"/>
          </w:tcPr>
          <w:p w14:paraId="378C2636">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《商店建筑设计规范》JGJ48-2014</w:t>
            </w:r>
          </w:p>
        </w:tc>
      </w:tr>
      <w:tr w14:paraId="3CBF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17A6D058">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《建筑内部装修设计防火规范》GB50222-95</w:t>
            </w:r>
          </w:p>
        </w:tc>
        <w:tc>
          <w:tcPr>
            <w:tcW w:w="4819" w:type="dxa"/>
            <w:vAlign w:val="center"/>
          </w:tcPr>
          <w:p w14:paraId="74B82C73">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《建筑内部装修设计防火规范》GB50222-2017</w:t>
            </w:r>
          </w:p>
        </w:tc>
      </w:tr>
      <w:tr w14:paraId="6E42B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1B6FA44C">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《自动喷水灭火系统设计规范》GB50084-2001（2005年版）</w:t>
            </w:r>
          </w:p>
        </w:tc>
        <w:tc>
          <w:tcPr>
            <w:tcW w:w="4819" w:type="dxa"/>
            <w:vAlign w:val="center"/>
          </w:tcPr>
          <w:p w14:paraId="28DECF5C">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《自动喷水灭火系统设计规范》GB50084-2017</w:t>
            </w:r>
          </w:p>
        </w:tc>
      </w:tr>
      <w:tr w14:paraId="079E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5FD6184E">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《建筑灭火器配置设计规范》 GB50140-2005</w:t>
            </w:r>
          </w:p>
        </w:tc>
        <w:tc>
          <w:tcPr>
            <w:tcW w:w="4819" w:type="dxa"/>
            <w:vAlign w:val="center"/>
          </w:tcPr>
          <w:p w14:paraId="348F3791">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《建筑灭火器配置设计规范》GB50140-2005</w:t>
            </w:r>
          </w:p>
        </w:tc>
      </w:tr>
      <w:tr w14:paraId="69AA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48FB4C87">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《民用建筑电气设计规范》 JGJ16-2008</w:t>
            </w:r>
          </w:p>
        </w:tc>
        <w:tc>
          <w:tcPr>
            <w:tcW w:w="4819" w:type="dxa"/>
            <w:shd w:val="clear" w:color="auto" w:fill="auto"/>
            <w:vAlign w:val="center"/>
          </w:tcPr>
          <w:p w14:paraId="665D2668">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eastAsia="zh-CN"/>
              </w:rPr>
            </w:pPr>
            <w:r>
              <w:rPr>
                <w:rFonts w:hint="eastAsia" w:ascii="宋体" w:hAnsi="宋体" w:eastAsia="宋体" w:cs="宋体"/>
                <w:color w:val="FF0000"/>
                <w:spacing w:val="-2"/>
                <w:sz w:val="20"/>
                <w:szCs w:val="20"/>
                <w:lang w:val="zh-CN"/>
              </w:rPr>
              <w:t>《民用建筑电气设计标准》GB51348- 2019</w:t>
            </w:r>
          </w:p>
        </w:tc>
      </w:tr>
      <w:tr w14:paraId="2F03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523264C0">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《火灾自动报警系统设计规程》GB50116-98</w:t>
            </w:r>
          </w:p>
        </w:tc>
        <w:tc>
          <w:tcPr>
            <w:tcW w:w="4819" w:type="dxa"/>
            <w:shd w:val="clear" w:color="auto" w:fill="auto"/>
            <w:vAlign w:val="center"/>
          </w:tcPr>
          <w:p w14:paraId="29780DFB">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eastAsia="zh-CN"/>
              </w:rPr>
            </w:pPr>
            <w:r>
              <w:rPr>
                <w:rFonts w:hint="eastAsia" w:ascii="宋体" w:hAnsi="宋体" w:eastAsia="宋体" w:cs="宋体"/>
                <w:color w:val="FF0000"/>
                <w:spacing w:val="-2"/>
                <w:sz w:val="20"/>
                <w:szCs w:val="20"/>
                <w:lang w:val="zh-CN"/>
              </w:rPr>
              <w:t>《火灾自动报警系统设计规程》GB50116-98</w:t>
            </w:r>
          </w:p>
        </w:tc>
      </w:tr>
      <w:tr w14:paraId="42C1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1F97279C">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《建筑照明设计标准》GB 50034-2004</w:t>
            </w:r>
          </w:p>
          <w:p w14:paraId="61218D8C">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p>
        </w:tc>
        <w:tc>
          <w:tcPr>
            <w:tcW w:w="4819" w:type="dxa"/>
            <w:vAlign w:val="center"/>
          </w:tcPr>
          <w:p w14:paraId="60F976AC">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《消防应急照明和疏散指示系统技术标准》GB51309-2018</w:t>
            </w:r>
          </w:p>
        </w:tc>
      </w:tr>
      <w:tr w14:paraId="07A6B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73DB6599">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《采暖通风与空气调节设计规范》GB50019-2003</w:t>
            </w:r>
          </w:p>
        </w:tc>
        <w:tc>
          <w:tcPr>
            <w:tcW w:w="4819" w:type="dxa"/>
            <w:vAlign w:val="center"/>
          </w:tcPr>
          <w:p w14:paraId="06B186FD">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《民用建筑供暖通风与空气调节设计规范》GB50736-2012</w:t>
            </w:r>
          </w:p>
        </w:tc>
      </w:tr>
      <w:tr w14:paraId="40FE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gridSpan w:val="2"/>
            <w:vAlign w:val="center"/>
          </w:tcPr>
          <w:p w14:paraId="108AA64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2"/>
                <w:sz w:val="21"/>
                <w:szCs w:val="21"/>
                <w:vertAlign w:val="baseline"/>
                <w:lang w:val="en-US" w:eastAsia="zh-CN"/>
                <w14:textFill>
                  <w14:solidFill>
                    <w14:schemeClr w14:val="tx1">
                      <w14:lumMod w14:val="95000"/>
                      <w14:lumOff w14:val="5000"/>
                    </w14:schemeClr>
                  </w14:solidFill>
                </w14:textFill>
              </w:rPr>
            </w:pPr>
            <w:r>
              <w:rPr>
                <w:rFonts w:hint="eastAsia" w:ascii="宋体" w:hAnsi="宋体" w:eastAsia="宋体" w:cs="宋体"/>
                <w:b/>
                <w:bCs/>
                <w:color w:val="FF0000"/>
                <w:spacing w:val="-2"/>
                <w:sz w:val="21"/>
                <w:szCs w:val="21"/>
                <w:lang w:val="en-US" w:eastAsia="zh-CN"/>
              </w:rPr>
              <w:t>本次改造新增执行</w:t>
            </w:r>
            <w:r>
              <w:rPr>
                <w:rFonts w:hint="eastAsia" w:ascii="宋体" w:hAnsi="宋体" w:eastAsia="宋体" w:cs="宋体"/>
                <w:b/>
                <w:bCs/>
                <w:color w:val="FF0000"/>
                <w:spacing w:val="-2"/>
                <w:sz w:val="21"/>
                <w:szCs w:val="21"/>
              </w:rPr>
              <w:t>主要法律法规</w:t>
            </w:r>
          </w:p>
        </w:tc>
      </w:tr>
      <w:tr w14:paraId="45A6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25FD8A45">
            <w:pPr>
              <w:keepNext w:val="0"/>
              <w:pageBreakBefore w:val="0"/>
              <w:widowControl w:val="0"/>
              <w:numPr>
                <w:ilvl w:val="0"/>
                <w:numId w:val="0"/>
              </w:numPr>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《建筑防火通用规范》GB50037-2022</w:t>
            </w:r>
          </w:p>
        </w:tc>
        <w:tc>
          <w:tcPr>
            <w:tcW w:w="4819" w:type="dxa"/>
            <w:vAlign w:val="center"/>
          </w:tcPr>
          <w:p w14:paraId="707BECC9">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b/>
                <w:bCs/>
                <w:color w:val="FF0000"/>
                <w:spacing w:val="-2"/>
                <w:sz w:val="20"/>
                <w:szCs w:val="20"/>
                <w:lang w:val="en-US" w:eastAsia="zh-CN"/>
              </w:rPr>
            </w:pPr>
            <w:r>
              <w:rPr>
                <w:rFonts w:hint="eastAsia" w:ascii="宋体" w:hAnsi="宋体" w:eastAsia="宋体" w:cs="宋体"/>
                <w:color w:val="FF0000"/>
                <w:spacing w:val="-2"/>
                <w:sz w:val="20"/>
                <w:szCs w:val="20"/>
                <w:lang w:val="zh-CN"/>
              </w:rPr>
              <w:t>《消防设施通用规范 》GB55036-2022</w:t>
            </w:r>
          </w:p>
        </w:tc>
      </w:tr>
      <w:tr w14:paraId="678B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14C9D1AB">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zh-CN"/>
              </w:rPr>
              <w:t>《民用建筑通用规范》GB55031-2022</w:t>
            </w:r>
          </w:p>
        </w:tc>
        <w:tc>
          <w:tcPr>
            <w:tcW w:w="4819" w:type="dxa"/>
            <w:vAlign w:val="center"/>
          </w:tcPr>
          <w:p w14:paraId="16543CC6">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《建筑防火封堵应用技术标准》GB/T51410-2020</w:t>
            </w:r>
          </w:p>
        </w:tc>
      </w:tr>
      <w:tr w14:paraId="6FE2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0A70DB43">
            <w:pPr>
              <w:keepNext w:val="0"/>
              <w:pageBreakBefore w:val="0"/>
              <w:widowControl/>
              <w:numPr>
                <w:ilvl w:val="0"/>
                <w:numId w:val="0"/>
              </w:numPr>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color w:val="FF0000"/>
                <w:spacing w:val="-2"/>
                <w:sz w:val="20"/>
                <w:szCs w:val="20"/>
                <w:lang w:val="zh-CN"/>
              </w:rPr>
            </w:pPr>
            <w:r>
              <w:rPr>
                <w:rFonts w:hint="eastAsia" w:ascii="宋体" w:hAnsi="宋体" w:eastAsia="宋体" w:cs="宋体"/>
                <w:snapToGrid w:val="0"/>
                <w:color w:val="FF0000"/>
                <w:spacing w:val="-2"/>
                <w:kern w:val="0"/>
                <w:sz w:val="20"/>
                <w:szCs w:val="20"/>
                <w:lang w:val="zh-CN"/>
              </w:rPr>
              <w:t>《建筑环境通用规范》GB55016-2021</w:t>
            </w:r>
          </w:p>
        </w:tc>
        <w:tc>
          <w:tcPr>
            <w:tcW w:w="4819" w:type="dxa"/>
            <w:vAlign w:val="center"/>
          </w:tcPr>
          <w:p w14:paraId="65C5CE7E">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snapToGrid w:val="0"/>
                <w:color w:val="FF0000"/>
                <w:spacing w:val="-2"/>
                <w:kern w:val="0"/>
                <w:sz w:val="20"/>
                <w:szCs w:val="20"/>
                <w:lang w:val="zh-CN"/>
              </w:rPr>
              <w:t>《既有建筑维护与改造通用规范》GB55022-2021</w:t>
            </w:r>
          </w:p>
        </w:tc>
      </w:tr>
      <w:tr w14:paraId="6C31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1A83C4D5">
            <w:pPr>
              <w:keepNext w:val="0"/>
              <w:pageBreakBefore w:val="0"/>
              <w:widowControl w:val="0"/>
              <w:numPr>
                <w:ilvl w:val="0"/>
                <w:numId w:val="0"/>
              </w:numPr>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《苏州市城市更新既有建筑消防设计技术指南》苏住建消【2023】4号文</w:t>
            </w:r>
          </w:p>
        </w:tc>
        <w:tc>
          <w:tcPr>
            <w:tcW w:w="4819" w:type="dxa"/>
            <w:vAlign w:val="center"/>
          </w:tcPr>
          <w:p w14:paraId="27971EA9">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b/>
                <w:bCs/>
                <w:color w:val="FF0000"/>
                <w:spacing w:val="-2"/>
                <w:sz w:val="20"/>
                <w:szCs w:val="20"/>
                <w:lang w:val="en-US" w:eastAsia="zh-CN"/>
              </w:rPr>
            </w:pPr>
            <w:r>
              <w:rPr>
                <w:rFonts w:hint="eastAsia" w:ascii="宋体" w:hAnsi="宋体" w:eastAsia="宋体" w:cs="宋体"/>
                <w:color w:val="FF0000"/>
                <w:spacing w:val="-2"/>
                <w:sz w:val="20"/>
                <w:szCs w:val="20"/>
                <w:lang w:val="en-US" w:eastAsia="zh-CN"/>
              </w:rPr>
              <w:t>《江苏省建设工程消防设计审查验收常见技术难点问题解答2.0》</w:t>
            </w:r>
          </w:p>
        </w:tc>
      </w:tr>
      <w:tr w14:paraId="082F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3C9517DB">
            <w:pPr>
              <w:keepNext w:val="0"/>
              <w:pageBreakBefore w:val="0"/>
              <w:widowControl w:val="0"/>
              <w:numPr>
                <w:ilvl w:val="0"/>
                <w:numId w:val="0"/>
              </w:numPr>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lang w:val="en-US" w:eastAsia="zh-CN"/>
              </w:rPr>
              <w:t>《江苏省既有建筑改造消防设计技术要点（试行）》苏建消防(2023)104号文</w:t>
            </w:r>
          </w:p>
        </w:tc>
        <w:tc>
          <w:tcPr>
            <w:tcW w:w="4819" w:type="dxa"/>
            <w:vAlign w:val="center"/>
          </w:tcPr>
          <w:p w14:paraId="23220225">
            <w:pPr>
              <w:keepNext w:val="0"/>
              <w:pageBreakBefore w:val="0"/>
              <w:widowControl/>
              <w:numPr>
                <w:ilvl w:val="0"/>
                <w:numId w:val="0"/>
              </w:numPr>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color w:val="FF0000"/>
                <w:spacing w:val="-2"/>
                <w:sz w:val="20"/>
                <w:szCs w:val="20"/>
                <w:lang w:val="en-US" w:eastAsia="zh-CN"/>
              </w:rPr>
            </w:pPr>
          </w:p>
        </w:tc>
      </w:tr>
      <w:tr w14:paraId="32A6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54658EA9">
            <w:pPr>
              <w:keepNext w:val="0"/>
              <w:pageBreakBefore w:val="0"/>
              <w:widowControl w:val="0"/>
              <w:numPr>
                <w:ilvl w:val="0"/>
                <w:numId w:val="0"/>
              </w:numPr>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zh-CN"/>
              </w:rPr>
            </w:pPr>
            <w:r>
              <w:rPr>
                <w:rFonts w:hint="eastAsia" w:ascii="宋体" w:hAnsi="宋体" w:eastAsia="宋体" w:cs="宋体"/>
                <w:color w:val="FF0000"/>
                <w:spacing w:val="-2"/>
                <w:sz w:val="20"/>
                <w:szCs w:val="20"/>
              </w:rPr>
              <w:t>《消防给水及消火栓系统技术规范》GB50974-2014</w:t>
            </w:r>
          </w:p>
        </w:tc>
        <w:tc>
          <w:tcPr>
            <w:tcW w:w="4819" w:type="dxa"/>
            <w:vAlign w:val="center"/>
          </w:tcPr>
          <w:p w14:paraId="3E7B76FE">
            <w:pPr>
              <w:keepNext w:val="0"/>
              <w:pageBreakBefore w:val="0"/>
              <w:widowControl w:val="0"/>
              <w:wordWrap/>
              <w:topLinePunct w:val="0"/>
              <w:bidi w:val="0"/>
              <w:spacing w:line="240" w:lineRule="auto"/>
              <w:ind w:left="0" w:leftChars="0" w:right="0" w:rightChars="0" w:firstLine="0" w:firstLineChars="0"/>
              <w:jc w:val="both"/>
              <w:rPr>
                <w:rFonts w:hint="eastAsia" w:ascii="宋体" w:hAnsi="宋体" w:eastAsia="宋体" w:cs="宋体"/>
                <w:color w:val="FF0000"/>
                <w:spacing w:val="-2"/>
                <w:sz w:val="20"/>
                <w:szCs w:val="20"/>
                <w:lang w:val="en-US" w:eastAsia="zh-CN"/>
              </w:rPr>
            </w:pPr>
            <w:r>
              <w:rPr>
                <w:rFonts w:hint="eastAsia" w:ascii="宋体" w:hAnsi="宋体" w:eastAsia="宋体" w:cs="宋体"/>
                <w:color w:val="FF0000"/>
                <w:spacing w:val="-2"/>
                <w:sz w:val="20"/>
                <w:szCs w:val="20"/>
              </w:rPr>
              <w:t>《建筑机电工程抗震设计规范》GB50981-2014</w:t>
            </w:r>
          </w:p>
        </w:tc>
      </w:tr>
      <w:tr w14:paraId="1110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0C4066C3">
            <w:pPr>
              <w:keepNext w:val="0"/>
              <w:pageBreakBefore w:val="0"/>
              <w:widowControl/>
              <w:numPr>
                <w:ilvl w:val="0"/>
                <w:numId w:val="0"/>
              </w:numPr>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color w:val="FF0000"/>
                <w:spacing w:val="-2"/>
                <w:sz w:val="20"/>
                <w:szCs w:val="20"/>
                <w:lang w:val="zh-CN"/>
              </w:rPr>
            </w:pPr>
            <w:r>
              <w:rPr>
                <w:rFonts w:hint="eastAsia" w:ascii="宋体" w:hAnsi="宋体" w:eastAsia="宋体" w:cs="宋体"/>
                <w:snapToGrid w:val="0"/>
                <w:color w:val="FF0000"/>
                <w:spacing w:val="-2"/>
                <w:kern w:val="0"/>
                <w:sz w:val="20"/>
                <w:szCs w:val="20"/>
                <w:lang w:val="zh-CN"/>
              </w:rPr>
              <w:t>《建与市政工程抗震通用规范》(GB55002-2021</w:t>
            </w:r>
          </w:p>
        </w:tc>
        <w:tc>
          <w:tcPr>
            <w:tcW w:w="4819" w:type="dxa"/>
            <w:vAlign w:val="center"/>
          </w:tcPr>
          <w:p w14:paraId="5F7ED0C4">
            <w:pPr>
              <w:keepNext w:val="0"/>
              <w:pageBreakBefore w:val="0"/>
              <w:widowControl/>
              <w:numPr>
                <w:ilvl w:val="0"/>
                <w:numId w:val="0"/>
              </w:numPr>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color w:val="FF0000"/>
                <w:spacing w:val="-2"/>
                <w:sz w:val="20"/>
                <w:szCs w:val="20"/>
                <w:lang w:val="en-US" w:eastAsia="zh-CN"/>
              </w:rPr>
            </w:pPr>
            <w:r>
              <w:rPr>
                <w:rFonts w:hint="eastAsia" w:ascii="宋体" w:hAnsi="宋体" w:eastAsia="宋体" w:cs="宋体"/>
                <w:snapToGrid w:val="0"/>
                <w:color w:val="FF0000"/>
                <w:spacing w:val="-2"/>
                <w:kern w:val="0"/>
                <w:sz w:val="20"/>
                <w:szCs w:val="20"/>
                <w:lang w:val="zh-CN"/>
              </w:rPr>
              <w:t>《建筑电气与智能化通用规范》GB55024-2022</w:t>
            </w:r>
          </w:p>
        </w:tc>
      </w:tr>
      <w:tr w14:paraId="5F4D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19" w:type="dxa"/>
            <w:vAlign w:val="center"/>
          </w:tcPr>
          <w:p w14:paraId="3A8C75D5">
            <w:pPr>
              <w:keepNext w:val="0"/>
              <w:pageBreakBefore w:val="0"/>
              <w:widowControl/>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snapToGrid w:val="0"/>
                <w:color w:val="FF0000"/>
                <w:spacing w:val="-2"/>
                <w:kern w:val="0"/>
                <w:sz w:val="20"/>
                <w:szCs w:val="20"/>
                <w:lang w:val="zh-CN"/>
              </w:rPr>
            </w:pPr>
            <w:r>
              <w:rPr>
                <w:rFonts w:hint="eastAsia" w:ascii="宋体" w:hAnsi="宋体" w:eastAsia="宋体" w:cs="宋体"/>
                <w:snapToGrid w:val="0"/>
                <w:color w:val="FF0000"/>
                <w:spacing w:val="-2"/>
                <w:kern w:val="0"/>
                <w:sz w:val="20"/>
                <w:szCs w:val="20"/>
                <w:lang w:val="en-US" w:eastAsia="zh-CN"/>
              </w:rPr>
              <w:t>《建筑防烟排烟系统技术标准》GB51251-2017</w:t>
            </w:r>
          </w:p>
        </w:tc>
        <w:tc>
          <w:tcPr>
            <w:tcW w:w="4819" w:type="dxa"/>
            <w:vAlign w:val="center"/>
          </w:tcPr>
          <w:p w14:paraId="33163D7A">
            <w:pPr>
              <w:keepNext w:val="0"/>
              <w:pageBreakBefore w:val="0"/>
              <w:widowControl/>
              <w:kinsoku w:val="0"/>
              <w:wordWrap/>
              <w:topLinePunct w:val="0"/>
              <w:autoSpaceDE w:val="0"/>
              <w:autoSpaceDN w:val="0"/>
              <w:bidi w:val="0"/>
              <w:adjustRightInd w:val="0"/>
              <w:snapToGrid w:val="0"/>
              <w:spacing w:line="240" w:lineRule="auto"/>
              <w:ind w:left="0" w:leftChars="0" w:right="0" w:rightChars="0" w:firstLine="0" w:firstLineChars="0"/>
              <w:jc w:val="both"/>
              <w:textAlignment w:val="baseline"/>
              <w:rPr>
                <w:rFonts w:hint="eastAsia" w:ascii="宋体" w:hAnsi="宋体" w:eastAsia="宋体" w:cs="宋体"/>
                <w:snapToGrid w:val="0"/>
                <w:color w:val="FF0000"/>
                <w:spacing w:val="-2"/>
                <w:kern w:val="0"/>
                <w:sz w:val="20"/>
                <w:szCs w:val="20"/>
                <w:lang w:val="zh-CN"/>
              </w:rPr>
            </w:pPr>
            <w:r>
              <w:rPr>
                <w:rFonts w:hint="eastAsia" w:ascii="宋体" w:hAnsi="宋体" w:eastAsia="宋体" w:cs="宋体"/>
                <w:snapToGrid w:val="0"/>
                <w:color w:val="FF0000"/>
                <w:spacing w:val="-2"/>
                <w:kern w:val="0"/>
                <w:sz w:val="20"/>
                <w:szCs w:val="20"/>
                <w:lang w:val="en-US" w:eastAsia="zh-CN"/>
              </w:rPr>
              <w:t>《通风与空调工程施工质量验收规范》GB50243-2016</w:t>
            </w:r>
          </w:p>
        </w:tc>
      </w:tr>
    </w:tbl>
    <w:p w14:paraId="59DA02D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4"/>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1.1.</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3</w:t>
      </w:r>
      <w:r>
        <w:rPr>
          <w:rFonts w:hint="eastAsia" w:ascii="宋体" w:hAnsi="宋体" w:eastAsia="宋体" w:cs="宋体"/>
          <w:color w:val="0D0D0D" w:themeColor="text1" w:themeTint="F2"/>
          <w:spacing w:val="2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4"/>
          <w:sz w:val="24"/>
          <w:szCs w:val="24"/>
          <w:lang w:val="en-US" w:eastAsia="zh-CN"/>
          <w14:textFill>
            <w14:solidFill>
              <w14:schemeClr w14:val="tx1">
                <w14:lumMod w14:val="95000"/>
                <w14:lumOff w14:val="5000"/>
              </w14:schemeClr>
            </w14:solidFill>
          </w14:textFill>
        </w:rPr>
        <w:t>前期咨询及消防相关专家论证会意见和回复：</w:t>
      </w:r>
    </w:p>
    <w:p w14:paraId="5E9F91E4">
      <w:pPr>
        <w:keepNext w:val="0"/>
        <w:pageBreakBefore w:val="0"/>
        <w:wordWrap/>
        <w:topLinePunct w:val="0"/>
        <w:bidi w:val="0"/>
        <w:spacing w:line="288" w:lineRule="auto"/>
        <w:ind w:left="0" w:leftChars="0" w:right="0" w:rightChars="0" w:firstLine="576" w:firstLineChars="200"/>
        <w:jc w:val="left"/>
        <w:rPr>
          <w:rFonts w:hint="eastAsia" w:ascii="宋体" w:hAnsi="宋体" w:eastAsia="宋体" w:cs="宋体"/>
          <w:color w:val="FF0000"/>
          <w:spacing w:val="24"/>
          <w:sz w:val="24"/>
          <w:szCs w:val="24"/>
          <w:lang w:val="en-US" w:eastAsia="zh-CN"/>
        </w:rPr>
      </w:pPr>
      <w:r>
        <w:rPr>
          <w:rFonts w:hint="eastAsia" w:ascii="宋体" w:hAnsi="宋体" w:eastAsia="宋体" w:cs="宋体"/>
          <w:color w:val="FF0000"/>
          <w:spacing w:val="24"/>
          <w:sz w:val="24"/>
          <w:szCs w:val="24"/>
          <w:lang w:val="en-US" w:eastAsia="zh-CN"/>
        </w:rPr>
        <w:t>本工程不涉及</w:t>
      </w:r>
      <w:r>
        <w:rPr>
          <w:rFonts w:hint="eastAsia" w:ascii="宋体" w:hAnsi="宋体" w:eastAsia="宋体" w:cs="宋体"/>
          <w:color w:val="FF0000"/>
          <w:sz w:val="24"/>
          <w:szCs w:val="24"/>
          <w:lang w:val="en-US" w:eastAsia="zh-CN"/>
        </w:rPr>
        <w:t>（如有需提供）</w:t>
      </w:r>
    </w:p>
    <w:p w14:paraId="312FEF5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4"/>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4"/>
          <w:sz w:val="24"/>
          <w:szCs w:val="24"/>
          <w:lang w:val="en-US" w:eastAsia="zh-CN"/>
          <w14:textFill>
            <w14:solidFill>
              <w14:schemeClr w14:val="tx1">
                <w14:lumMod w14:val="95000"/>
                <w14:lumOff w14:val="5000"/>
              </w14:schemeClr>
            </w14:solidFill>
          </w14:textFill>
        </w:rPr>
        <w:t>1.1.4 特殊消防设计</w:t>
      </w:r>
    </w:p>
    <w:p w14:paraId="07BBA0B7">
      <w:pPr>
        <w:keepNext w:val="0"/>
        <w:pageBreakBefore w:val="0"/>
        <w:wordWrap/>
        <w:topLinePunct w:val="0"/>
        <w:bidi w:val="0"/>
        <w:spacing w:line="288" w:lineRule="auto"/>
        <w:ind w:left="0" w:leftChars="0" w:right="0" w:rightChars="0" w:firstLine="576" w:firstLineChars="200"/>
        <w:jc w:val="left"/>
        <w:rPr>
          <w:rFonts w:hint="eastAsia" w:ascii="宋体" w:hAnsi="宋体" w:eastAsia="宋体" w:cs="宋体"/>
          <w:color w:val="FF0000"/>
          <w:spacing w:val="24"/>
          <w:sz w:val="24"/>
          <w:szCs w:val="24"/>
          <w:lang w:val="en-US" w:eastAsia="zh-CN"/>
        </w:rPr>
      </w:pPr>
      <w:r>
        <w:rPr>
          <w:rFonts w:hint="eastAsia" w:ascii="宋体" w:hAnsi="宋体" w:eastAsia="宋体" w:cs="宋体"/>
          <w:color w:val="FF0000"/>
          <w:spacing w:val="24"/>
          <w:sz w:val="24"/>
          <w:szCs w:val="24"/>
          <w:lang w:val="en-US" w:eastAsia="zh-CN"/>
        </w:rPr>
        <w:t>本工程不涉及</w:t>
      </w:r>
      <w:r>
        <w:rPr>
          <w:rFonts w:hint="eastAsia" w:ascii="宋体" w:hAnsi="宋体" w:eastAsia="宋体" w:cs="宋体"/>
          <w:color w:val="FF0000"/>
          <w:sz w:val="24"/>
          <w:szCs w:val="24"/>
          <w:lang w:val="en-US" w:eastAsia="zh-CN"/>
        </w:rPr>
        <w:t>（如有需提供）</w:t>
      </w:r>
    </w:p>
    <w:p w14:paraId="24FE364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pPr>
    </w:p>
    <w:p w14:paraId="4BDFFA23">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1.2 工程概况</w:t>
      </w:r>
    </w:p>
    <w:p w14:paraId="6A8BEE2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1.2.1 原始概况                          </w:t>
      </w:r>
    </w:p>
    <w:p w14:paraId="153C150E">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1 本工程位于</w:t>
      </w:r>
      <w:r>
        <w:rPr>
          <w:rFonts w:hint="eastAsia" w:ascii="宋体" w:hAnsi="宋体" w:eastAsia="宋体" w:cs="宋体"/>
          <w:color w:val="FF0000"/>
          <w:spacing w:val="-3"/>
          <w:sz w:val="24"/>
          <w:szCs w:val="24"/>
          <w:u w:val="single"/>
        </w:rPr>
        <w:t xml:space="preserve"> </w:t>
      </w:r>
      <w:r>
        <w:rPr>
          <w:rFonts w:hint="eastAsia" w:ascii="宋体" w:hAnsi="宋体" w:eastAsia="宋体" w:cs="宋体"/>
          <w:color w:val="FF0000"/>
          <w:spacing w:val="-3"/>
          <w:sz w:val="24"/>
          <w:szCs w:val="24"/>
          <w:u w:val="single"/>
          <w:lang w:val="zh-CN"/>
        </w:rPr>
        <w:t>苏州</w:t>
      </w:r>
      <w:r>
        <w:rPr>
          <w:rFonts w:hint="eastAsia" w:ascii="宋体" w:hAnsi="宋体" w:eastAsia="宋体" w:cs="宋体"/>
          <w:color w:val="FF0000"/>
          <w:spacing w:val="-3"/>
          <w:sz w:val="24"/>
          <w:szCs w:val="24"/>
          <w:u w:val="single"/>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市</w:t>
      </w:r>
      <w:r>
        <w:rPr>
          <w:rFonts w:hint="eastAsia" w:ascii="宋体" w:hAnsi="宋体" w:eastAsia="宋体" w:cs="宋体"/>
          <w:color w:val="FF0000"/>
          <w:spacing w:val="-3"/>
          <w:sz w:val="24"/>
          <w:szCs w:val="24"/>
          <w:u w:val="single"/>
          <w:lang w:val="zh-CN"/>
        </w:rPr>
        <w:t xml:space="preserve"> </w:t>
      </w:r>
      <w:r>
        <w:rPr>
          <w:rFonts w:hint="eastAsia" w:ascii="宋体" w:hAnsi="宋体" w:eastAsia="宋体" w:cs="宋体"/>
          <w:color w:val="FF0000"/>
          <w:spacing w:val="-3"/>
          <w:sz w:val="24"/>
          <w:szCs w:val="24"/>
          <w:u w:val="single"/>
        </w:rPr>
        <w:t xml:space="preserve"> 工业园</w:t>
      </w:r>
      <w:r>
        <w:rPr>
          <w:rFonts w:hint="eastAsia" w:ascii="宋体" w:hAnsi="宋体" w:eastAsia="宋体" w:cs="宋体"/>
          <w:color w:val="FF0000"/>
          <w:spacing w:val="-3"/>
          <w:sz w:val="24"/>
          <w:szCs w:val="24"/>
          <w:u w:val="single"/>
          <w:lang w:val="zh-CN"/>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区，北</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临</w:t>
      </w:r>
      <w:r>
        <w:rPr>
          <w:rFonts w:hint="eastAsia" w:ascii="宋体" w:hAnsi="宋体" w:eastAsia="宋体" w:cs="宋体"/>
          <w:color w:val="FF0000"/>
          <w:spacing w:val="-6"/>
          <w:sz w:val="24"/>
          <w:szCs w:val="24"/>
          <w:u w:val="single"/>
        </w:rPr>
        <w:t xml:space="preserve">  圆融天幕街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，西临</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 xml:space="preserve"> 华池街</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，东临</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思安</w:t>
      </w:r>
      <w:r>
        <w:rPr>
          <w:rFonts w:hint="eastAsia" w:ascii="宋体" w:hAnsi="宋体" w:eastAsia="宋体" w:cs="宋体"/>
          <w:color w:val="FF0000"/>
          <w:spacing w:val="-6"/>
          <w:sz w:val="24"/>
          <w:szCs w:val="24"/>
          <w:u w:val="single"/>
          <w:lang w:val="zh-CN"/>
        </w:rPr>
        <w:t>街</w:t>
      </w:r>
      <w:r>
        <w:rPr>
          <w:rFonts w:hint="eastAsia" w:ascii="宋体" w:hAnsi="宋体" w:eastAsia="宋体" w:cs="宋体"/>
          <w:color w:val="FF0000"/>
          <w:spacing w:val="-6"/>
          <w:sz w:val="24"/>
          <w:szCs w:val="24"/>
          <w:u w:val="single"/>
        </w:rPr>
        <w:t xml:space="preserve"> </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，南</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临</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旺墩路</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w:t>
      </w:r>
    </w:p>
    <w:p w14:paraId="3D00671E">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2 本工程规划用地性质为</w:t>
      </w:r>
      <w:r>
        <w:rPr>
          <w:rFonts w:hint="eastAsia" w:ascii="宋体" w:hAnsi="宋体" w:eastAsia="宋体" w:cs="宋体"/>
          <w:color w:val="FF0000"/>
          <w:spacing w:val="-6"/>
          <w:sz w:val="24"/>
          <w:szCs w:val="24"/>
          <w:u w:val="single"/>
        </w:rPr>
        <w:t xml:space="preserve">商业用地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，用地面积为 </w:t>
      </w:r>
      <w:r>
        <w:rPr>
          <w:rFonts w:hint="eastAsia" w:ascii="宋体" w:hAnsi="宋体" w:eastAsia="宋体" w:cs="宋体"/>
          <w:color w:val="FF0000"/>
          <w:spacing w:val="-6"/>
          <w:sz w:val="24"/>
          <w:szCs w:val="24"/>
          <w:u w:val="single"/>
        </w:rPr>
        <w:t xml:space="preserve"> 54051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㎡，场地地势</w:t>
      </w:r>
      <w:r>
        <w:rPr>
          <w:rFonts w:hint="eastAsia" w:ascii="宋体" w:hAnsi="宋体" w:eastAsia="宋体" w:cs="宋体"/>
          <w:color w:val="FF0000"/>
          <w:spacing w:val="-6"/>
          <w:sz w:val="24"/>
          <w:szCs w:val="24"/>
          <w:u w:val="single"/>
        </w:rPr>
        <w:t xml:space="preserve"> 平坦</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，竖向采用</w:t>
      </w:r>
      <w:r>
        <w:rPr>
          <w:rFonts w:hint="eastAsia" w:ascii="宋体" w:hAnsi="宋体" w:eastAsia="宋体" w:cs="宋体"/>
          <w:color w:val="FF0000"/>
          <w:spacing w:val="-6"/>
          <w:sz w:val="24"/>
          <w:szCs w:val="24"/>
          <w:u w:val="single"/>
        </w:rPr>
        <w:t xml:space="preserve">平坡式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布置方式。机动车出入口设置在</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 xml:space="preserve">地块南侧和东侧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，人流出入口设置在</w:t>
      </w:r>
      <w:r>
        <w:rPr>
          <w:rFonts w:hint="eastAsia" w:ascii="宋体" w:hAnsi="宋体" w:eastAsia="宋体" w:cs="宋体"/>
          <w:color w:val="FF0000"/>
          <w:spacing w:val="-6"/>
          <w:sz w:val="24"/>
          <w:szCs w:val="24"/>
          <w:u w:val="single"/>
        </w:rPr>
        <w:t xml:space="preserve">  建筑东</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南</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 xml:space="preserve">北侧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w:t>
      </w:r>
    </w:p>
    <w:p w14:paraId="5380CA1B">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0D0D0D" w:themeColor="text1" w:themeTint="F2"/>
          <w:spacing w:val="-6"/>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3 </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改造建筑名称为</w:t>
      </w:r>
      <w:r>
        <w:rPr>
          <w:rFonts w:hint="eastAsia" w:ascii="宋体" w:hAnsi="宋体" w:eastAsia="宋体" w:cs="宋体"/>
          <w:color w:val="FF0000"/>
          <w:spacing w:val="-6"/>
          <w:sz w:val="24"/>
          <w:szCs w:val="24"/>
          <w:u w:val="single"/>
        </w:rPr>
        <w:t xml:space="preserve">  时代广场购物商城</w:t>
      </w:r>
      <w:r>
        <w:rPr>
          <w:rFonts w:hint="eastAsia" w:ascii="宋体" w:hAnsi="宋体" w:eastAsia="宋体" w:cs="宋体"/>
          <w:color w:val="FF0000"/>
          <w:sz w:val="24"/>
          <w:szCs w:val="24"/>
          <w:u w:val="single"/>
        </w:rPr>
        <w:t> </w:t>
      </w:r>
      <w:r>
        <w:rPr>
          <w:rFonts w:hint="eastAsia" w:ascii="宋体" w:hAnsi="宋体" w:eastAsia="宋体" w:cs="宋体"/>
          <w:color w:val="FF0000"/>
          <w:spacing w:val="-6"/>
          <w:sz w:val="24"/>
          <w:szCs w:val="24"/>
          <w:u w:val="single"/>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，总建筑面积为</w:t>
      </w:r>
      <w:r>
        <w:rPr>
          <w:rFonts w:hint="eastAsia" w:ascii="宋体" w:hAnsi="宋体" w:eastAsia="宋体" w:cs="宋体"/>
          <w:color w:val="FF0000"/>
          <w:spacing w:val="-6"/>
          <w:sz w:val="24"/>
          <w:szCs w:val="24"/>
          <w:u w:val="single"/>
        </w:rPr>
        <w:t xml:space="preserve">  174900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㎡。其中，地上建筑面积</w:t>
      </w:r>
      <w:r>
        <w:rPr>
          <w:rFonts w:hint="eastAsia" w:ascii="宋体" w:hAnsi="宋体" w:eastAsia="宋体" w:cs="宋体"/>
          <w:color w:val="FF0000"/>
          <w:spacing w:val="-6"/>
          <w:sz w:val="24"/>
          <w:szCs w:val="24"/>
          <w:u w:val="single"/>
        </w:rPr>
        <w:t xml:space="preserve"> 9</w:t>
      </w:r>
      <w:r>
        <w:rPr>
          <w:rFonts w:hint="eastAsia" w:ascii="宋体" w:hAnsi="宋体" w:eastAsia="宋体" w:cs="宋体"/>
          <w:color w:val="FF0000"/>
          <w:spacing w:val="-6"/>
          <w:sz w:val="24"/>
          <w:szCs w:val="24"/>
          <w:u w:val="single"/>
          <w:lang w:val="en-US" w:eastAsia="zh-CN"/>
        </w:rPr>
        <w:t>9436</w:t>
      </w:r>
      <w:r>
        <w:rPr>
          <w:rFonts w:hint="eastAsia" w:ascii="宋体" w:hAnsi="宋体" w:eastAsia="宋体" w:cs="宋体"/>
          <w:color w:val="FF0000"/>
          <w:spacing w:val="-6"/>
          <w:sz w:val="24"/>
          <w:szCs w:val="24"/>
          <w:u w:val="single"/>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㎡，地下建筑面积</w:t>
      </w:r>
      <w:r>
        <w:rPr>
          <w:rFonts w:hint="eastAsia" w:ascii="宋体" w:hAnsi="宋体" w:eastAsia="宋体" w:cs="宋体"/>
          <w:color w:val="FF0000"/>
          <w:spacing w:val="-6"/>
          <w:sz w:val="24"/>
          <w:szCs w:val="24"/>
          <w:u w:val="single"/>
        </w:rPr>
        <w:t xml:space="preserve">  7</w:t>
      </w:r>
      <w:r>
        <w:rPr>
          <w:rFonts w:hint="eastAsia" w:ascii="宋体" w:hAnsi="宋体" w:eastAsia="宋体" w:cs="宋体"/>
          <w:color w:val="FF0000"/>
          <w:spacing w:val="-6"/>
          <w:sz w:val="24"/>
          <w:szCs w:val="24"/>
          <w:u w:val="single"/>
          <w:lang w:val="en-US" w:eastAsia="zh-CN"/>
        </w:rPr>
        <w:t>5464</w:t>
      </w:r>
      <w:r>
        <w:rPr>
          <w:rFonts w:hint="eastAsia" w:ascii="宋体" w:hAnsi="宋体" w:eastAsia="宋体" w:cs="宋体"/>
          <w:color w:val="FF0000"/>
          <w:spacing w:val="-6"/>
          <w:sz w:val="24"/>
          <w:szCs w:val="24"/>
          <w:u w:val="single"/>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㎡。其中，</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地下</w:t>
      </w:r>
      <w:r>
        <w:rPr>
          <w:rFonts w:hint="eastAsia" w:ascii="宋体" w:hAnsi="宋体" w:eastAsia="宋体" w:cs="宋体"/>
          <w:color w:val="FF0000"/>
          <w:spacing w:val="3"/>
          <w:sz w:val="24"/>
          <w:szCs w:val="24"/>
          <w:u w:val="single"/>
        </w:rPr>
        <w:t xml:space="preserve">  2 </w:t>
      </w:r>
      <w:r>
        <w:rPr>
          <w:rFonts w:hint="eastAsia" w:ascii="宋体" w:hAnsi="宋体" w:eastAsia="宋体" w:cs="宋体"/>
          <w:color w:val="0D0D0D" w:themeColor="text1" w:themeTint="F2"/>
          <w:spacing w:val="3"/>
          <w:sz w:val="24"/>
          <w:szCs w:val="24"/>
          <w:u w:val="none"/>
          <w14:textFill>
            <w14:solidFill>
              <w14:schemeClr w14:val="tx1">
                <w14:lumMod w14:val="95000"/>
                <w14:lumOff w14:val="5000"/>
              </w14:schemeClr>
            </w14:solidFill>
          </w14:textFill>
        </w:rPr>
        <w:t>层</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地上</w:t>
      </w:r>
      <w:r>
        <w:rPr>
          <w:rFonts w:hint="eastAsia" w:ascii="宋体" w:hAnsi="宋体" w:eastAsia="宋体" w:cs="宋体"/>
          <w:color w:val="FF0000"/>
          <w:spacing w:val="3"/>
          <w:sz w:val="24"/>
          <w:szCs w:val="24"/>
          <w:u w:val="single"/>
        </w:rPr>
        <w:t xml:space="preserve"> 4 层</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，建筑高度</w:t>
      </w:r>
      <w:r>
        <w:rPr>
          <w:rFonts w:hint="eastAsia" w:ascii="宋体" w:hAnsi="宋体" w:eastAsia="宋体" w:cs="宋体"/>
          <w:color w:val="FF0000"/>
          <w:spacing w:val="6"/>
          <w:sz w:val="24"/>
          <w:szCs w:val="24"/>
          <w:u w:val="single"/>
        </w:rPr>
        <w:t xml:space="preserve">  24.0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m，主要功能</w:t>
      </w:r>
      <w:r>
        <w:rPr>
          <w:rFonts w:hint="eastAsia" w:ascii="宋体" w:hAnsi="宋体" w:eastAsia="宋体" w:cs="宋体"/>
          <w:color w:val="FF0000"/>
          <w:spacing w:val="6"/>
          <w:sz w:val="24"/>
          <w:szCs w:val="24"/>
          <w:u w:val="single"/>
        </w:rPr>
        <w:t xml:space="preserve"> 地下为机动车库和非机动车库、设备用房、餐饮，地上1-4层为商业</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w:t>
      </w:r>
      <w:r>
        <w:rPr>
          <w:rFonts w:hint="eastAsia" w:ascii="宋体" w:hAnsi="宋体" w:eastAsia="宋体" w:cs="宋体"/>
          <w:color w:val="FF0000"/>
          <w:sz w:val="20"/>
          <w:szCs w:val="20"/>
          <w:lang w:val="en-US" w:eastAsia="zh-CN"/>
        </w:rPr>
        <w:t>（多个单体需按单体分开填写）</w:t>
      </w:r>
    </w:p>
    <w:p w14:paraId="29345F89">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消防水池位于</w:t>
      </w:r>
      <w:r>
        <w:rPr>
          <w:rFonts w:hint="eastAsia" w:ascii="宋体" w:hAnsi="宋体" w:eastAsia="宋体" w:cs="宋体"/>
          <w:color w:val="FF0000"/>
          <w:spacing w:val="-6"/>
          <w:sz w:val="24"/>
          <w:szCs w:val="24"/>
          <w:u w:val="single"/>
          <w:lang w:val="en-US" w:eastAsia="zh-CN"/>
        </w:rPr>
        <w:t>地下二层3-8轴/A-B轴处，有效容积792立方米，屋顶高位消防水箱位于S3屋顶，有效容积18立方米</w:t>
      </w:r>
      <w:r>
        <w:rPr>
          <w:rFonts w:hint="eastAsia" w:ascii="宋体" w:hAnsi="宋体" w:eastAsia="宋体" w:cs="宋体"/>
          <w:color w:val="0D0D0D" w:themeColor="text1" w:themeTint="F2"/>
          <w:spacing w:val="-6"/>
          <w:sz w:val="24"/>
          <w:szCs w:val="24"/>
          <w:u w:val="non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消防控制室设置在</w:t>
      </w:r>
      <w:r>
        <w:rPr>
          <w:rFonts w:hint="eastAsia" w:ascii="宋体" w:hAnsi="宋体" w:eastAsia="宋体" w:cs="宋体"/>
          <w:color w:val="FF0000"/>
          <w:spacing w:val="-6"/>
          <w:sz w:val="24"/>
          <w:szCs w:val="24"/>
          <w:u w:val="single"/>
          <w:lang w:val="en-US" w:eastAsia="zh-CN"/>
        </w:rPr>
        <w:t>本建筑D区一层5-6交A-B轴处</w:t>
      </w:r>
      <w:r>
        <w:rPr>
          <w:rFonts w:hint="eastAsia" w:ascii="宋体" w:hAnsi="宋体" w:eastAsia="宋体" w:cs="宋体"/>
          <w:color w:val="0D0D0D" w:themeColor="text1" w:themeTint="F2"/>
          <w:spacing w:val="-6"/>
          <w:sz w:val="24"/>
          <w:szCs w:val="24"/>
          <w:u w:val="none"/>
          <w:lang w:val="en-US" w:eastAsia="zh-CN"/>
          <w14:textFill>
            <w14:solidFill>
              <w14:schemeClr w14:val="tx1">
                <w14:lumMod w14:val="95000"/>
                <w14:lumOff w14:val="5000"/>
              </w14:schemeClr>
            </w14:solidFill>
          </w14:textFill>
        </w:rPr>
        <w:t>。</w:t>
      </w:r>
      <w:r>
        <w:rPr>
          <w:rFonts w:hint="eastAsia" w:ascii="宋体" w:hAnsi="宋体" w:eastAsia="宋体" w:cs="宋体"/>
          <w:color w:val="FF0000"/>
          <w:sz w:val="20"/>
          <w:szCs w:val="20"/>
          <w:lang w:val="en-US" w:eastAsia="zh-CN"/>
        </w:rPr>
        <w:t>（注明具体楼层及轴号位置）</w:t>
      </w:r>
    </w:p>
    <w:p w14:paraId="0ED65058">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4 </w:t>
      </w:r>
      <w:r>
        <w:rPr>
          <w:rFonts w:hint="eastAsia" w:ascii="宋体" w:hAnsi="宋体" w:eastAsia="宋体" w:cs="宋体"/>
          <w:color w:val="auto"/>
          <w:spacing w:val="6"/>
          <w:sz w:val="24"/>
          <w:szCs w:val="24"/>
        </w:rPr>
        <w:t>本工程于</w:t>
      </w:r>
      <w:r>
        <w:rPr>
          <w:rFonts w:hint="eastAsia" w:ascii="宋体" w:hAnsi="宋体" w:eastAsia="宋体" w:cs="宋体"/>
          <w:color w:val="FF0000"/>
          <w:spacing w:val="6"/>
          <w:sz w:val="24"/>
          <w:szCs w:val="24"/>
          <w:u w:val="single"/>
        </w:rPr>
        <w:t xml:space="preserve">  /   </w:t>
      </w:r>
      <w:r>
        <w:rPr>
          <w:rFonts w:hint="eastAsia" w:ascii="宋体" w:hAnsi="宋体" w:eastAsia="宋体" w:cs="宋体"/>
          <w:color w:val="auto"/>
          <w:spacing w:val="6"/>
          <w:sz w:val="24"/>
          <w:szCs w:val="24"/>
        </w:rPr>
        <w:t>取得施工图审查合格证，于</w:t>
      </w:r>
      <w:r>
        <w:rPr>
          <w:rFonts w:hint="eastAsia" w:ascii="宋体" w:hAnsi="宋体" w:eastAsia="宋体" w:cs="宋体"/>
          <w:color w:val="FF0000"/>
          <w:spacing w:val="6"/>
          <w:sz w:val="24"/>
          <w:szCs w:val="24"/>
          <w:u w:val="single"/>
        </w:rPr>
        <w:t xml:space="preserve">  / </w:t>
      </w:r>
      <w:r>
        <w:rPr>
          <w:rFonts w:hint="eastAsia" w:ascii="宋体" w:hAnsi="宋体" w:eastAsia="宋体" w:cs="宋体"/>
          <w:color w:val="auto"/>
          <w:spacing w:val="6"/>
          <w:sz w:val="24"/>
          <w:szCs w:val="24"/>
        </w:rPr>
        <w:t>取得《建设工程消防设计审查意见书》，</w:t>
      </w:r>
      <w:r>
        <w:rPr>
          <w:rFonts w:hint="eastAsia" w:ascii="宋体" w:hAnsi="宋体" w:eastAsia="宋体" w:cs="宋体"/>
          <w:color w:val="FF0000"/>
          <w:spacing w:val="6"/>
          <w:sz w:val="24"/>
          <w:szCs w:val="24"/>
          <w:u w:val="single"/>
          <w:lang w:val="en-US" w:eastAsia="zh-CN"/>
        </w:rPr>
        <w:t>2009</w:t>
      </w:r>
      <w:r>
        <w:rPr>
          <w:rFonts w:hint="eastAsia" w:ascii="宋体" w:hAnsi="宋体" w:eastAsia="宋体" w:cs="宋体"/>
          <w:color w:val="auto"/>
          <w:spacing w:val="6"/>
          <w:sz w:val="24"/>
          <w:szCs w:val="24"/>
          <w:u w:val="single"/>
          <w:lang w:val="en-US" w:eastAsia="zh-CN"/>
        </w:rPr>
        <w:t>年</w:t>
      </w:r>
      <w:r>
        <w:rPr>
          <w:rFonts w:hint="eastAsia" w:ascii="宋体" w:hAnsi="宋体" w:eastAsia="宋体" w:cs="宋体"/>
          <w:color w:val="auto"/>
          <w:spacing w:val="6"/>
          <w:sz w:val="24"/>
          <w:szCs w:val="24"/>
        </w:rPr>
        <w:t>取得</w:t>
      </w:r>
      <w:r>
        <w:rPr>
          <w:rFonts w:hint="eastAsia" w:ascii="宋体" w:hAnsi="宋体" w:eastAsia="宋体" w:cs="宋体"/>
          <w:color w:val="auto"/>
          <w:spacing w:val="6"/>
          <w:sz w:val="24"/>
          <w:szCs w:val="24"/>
          <w:lang w:val="en-US" w:eastAsia="zh-CN"/>
        </w:rPr>
        <w:t>建筑</w:t>
      </w:r>
      <w:r>
        <w:rPr>
          <w:rFonts w:hint="eastAsia" w:ascii="宋体" w:hAnsi="宋体" w:eastAsia="宋体" w:cs="宋体"/>
          <w:color w:val="auto"/>
          <w:spacing w:val="6"/>
          <w:sz w:val="24"/>
          <w:szCs w:val="24"/>
        </w:rPr>
        <w:t>工程消防验收意见书。</w:t>
      </w:r>
    </w:p>
    <w:p w14:paraId="4ED4EDF9">
      <w:pPr>
        <w:keepNext w:val="0"/>
        <w:pageBreakBefore w:val="0"/>
        <w:wordWrap/>
        <w:topLinePunct w:val="0"/>
        <w:bidi w:val="0"/>
        <w:spacing w:line="288" w:lineRule="auto"/>
        <w:ind w:right="0" w:rightChars="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1.2.2 改造范围</w:t>
      </w:r>
      <w:r>
        <w:rPr>
          <w:rFonts w:hint="eastAsia" w:ascii="宋体" w:hAnsi="宋体" w:eastAsia="宋体" w:cs="宋体"/>
          <w:color w:val="0D0D0D" w:themeColor="text1" w:themeTint="F2"/>
          <w:spacing w:val="-6"/>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面积、功能及防火分区</w:t>
      </w:r>
    </w:p>
    <w:p w14:paraId="2A13AF33">
      <w:pPr>
        <w:keepNext w:val="0"/>
        <w:pageBreakBefore w:val="0"/>
        <w:wordWrap/>
        <w:topLinePunct w:val="0"/>
        <w:bidi w:val="0"/>
        <w:spacing w:line="288" w:lineRule="auto"/>
        <w:ind w:right="0" w:rightChars="0" w:firstLine="456" w:firstLineChars="200"/>
        <w:jc w:val="left"/>
        <w:rPr>
          <w:rFonts w:hint="eastAsia" w:ascii="宋体" w:hAnsi="宋体" w:eastAsia="宋体" w:cs="宋体"/>
          <w:sz w:val="24"/>
          <w:szCs w:val="24"/>
          <w:u w:val="single"/>
          <w:lang w:val="en-US" w:eastAsia="zh-CN"/>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本次改造范围为：</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时代广场购物商城</w:t>
      </w:r>
      <w:r>
        <w:rPr>
          <w:rFonts w:hint="eastAsia" w:ascii="宋体" w:hAnsi="宋体" w:eastAsia="宋体" w:cs="宋体"/>
          <w:color w:val="FF0000"/>
          <w:sz w:val="24"/>
          <w:szCs w:val="24"/>
          <w:u w:val="single"/>
        </w:rPr>
        <w:t>局部第四层，位于(3)轴~（7）轴交（L）轴~（P）轴处</w:t>
      </w:r>
      <w:r>
        <w:rPr>
          <w:rFonts w:hint="eastAsia" w:ascii="宋体" w:hAnsi="宋体" w:eastAsia="宋体" w:cs="宋体"/>
          <w:color w:val="FF0000"/>
          <w:sz w:val="24"/>
          <w:szCs w:val="24"/>
          <w:u w:val="single"/>
          <w:lang w:val="en-US" w:eastAsia="zh-CN"/>
        </w:rPr>
        <w:t>。</w:t>
      </w:r>
      <w:r>
        <w:rPr>
          <w:rFonts w:hint="eastAsia" w:ascii="宋体" w:hAnsi="宋体" w:eastAsia="宋体" w:cs="宋体"/>
          <w:color w:val="FF0000"/>
          <w:sz w:val="21"/>
          <w:szCs w:val="21"/>
          <w:lang w:val="en-US" w:eastAsia="zh-CN"/>
        </w:rPr>
        <w:t>（单体名称、所在楼层及轴号限定范围）</w:t>
      </w:r>
    </w:p>
    <w:p w14:paraId="45050988">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FF0000"/>
          <w:sz w:val="24"/>
          <w:szCs w:val="24"/>
          <w:lang w:val="en-US" w:eastAsia="zh-CN"/>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本次改造</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面积</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pacing w:val="-6"/>
          <w:sz w:val="24"/>
          <w:szCs w:val="24"/>
          <w:lang w:eastAsia="zh-CN"/>
          <w14:textFill>
            <w14:solidFill>
              <w14:schemeClr w14:val="tx1">
                <w14:lumMod w14:val="95000"/>
                <w14:lumOff w14:val="5000"/>
              </w14:schemeClr>
            </w14:solidFill>
          </w14:textFill>
        </w:rPr>
        <w:t>：</w:t>
      </w:r>
      <w:r>
        <w:rPr>
          <w:rFonts w:hint="eastAsia" w:ascii="宋体" w:hAnsi="宋体" w:eastAsia="宋体" w:cs="宋体"/>
          <w:sz w:val="24"/>
          <w:szCs w:val="24"/>
          <w:u w:val="single"/>
          <w:lang w:val="en-US" w:eastAsia="zh-CN"/>
        </w:rPr>
        <w:t>745平方米，745/99436（不含停车库）=0.0075＜1/3</w:t>
      </w:r>
      <w:r>
        <w:rPr>
          <w:rFonts w:hint="eastAsia" w:ascii="宋体" w:hAnsi="宋体" w:eastAsia="宋体" w:cs="宋体"/>
          <w:color w:val="0D0D0D" w:themeColor="text1" w:themeTint="F2"/>
          <w:spacing w:val="-6"/>
          <w:sz w:val="24"/>
          <w:szCs w:val="24"/>
          <w:u w:val="none"/>
          <w:lang w:eastAsia="zh-CN"/>
          <w14:textFill>
            <w14:solidFill>
              <w14:schemeClr w14:val="tx1">
                <w14:lumMod w14:val="95000"/>
                <w14:lumOff w14:val="5000"/>
              </w14:schemeClr>
            </w14:solidFill>
          </w14:textFill>
        </w:rPr>
        <w:t>。</w:t>
      </w:r>
      <w:r>
        <w:rPr>
          <w:rFonts w:hint="eastAsia" w:ascii="宋体" w:hAnsi="宋体" w:eastAsia="宋体" w:cs="宋体"/>
          <w:color w:val="FF0000"/>
          <w:sz w:val="20"/>
          <w:szCs w:val="20"/>
          <w:lang w:eastAsia="zh-CN"/>
        </w:rPr>
        <w:t>（</w:t>
      </w:r>
      <w:r>
        <w:rPr>
          <w:rFonts w:hint="eastAsia" w:ascii="宋体" w:hAnsi="宋体" w:eastAsia="宋体" w:cs="宋体"/>
          <w:color w:val="FF0000"/>
          <w:sz w:val="20"/>
          <w:szCs w:val="20"/>
          <w:lang w:val="en-US" w:eastAsia="zh-CN"/>
        </w:rPr>
        <w:t>按苏住建消2023的4号文3.1.4填写</w:t>
      </w:r>
      <w:r>
        <w:rPr>
          <w:rFonts w:hint="eastAsia" w:ascii="宋体" w:hAnsi="宋体" w:eastAsia="宋体" w:cs="宋体"/>
          <w:color w:val="FF0000"/>
          <w:sz w:val="20"/>
          <w:szCs w:val="20"/>
          <w:lang w:eastAsia="zh-CN"/>
        </w:rPr>
        <w:t>）</w:t>
      </w:r>
    </w:p>
    <w:p w14:paraId="67430A90">
      <w:pPr>
        <w:keepNext w:val="0"/>
        <w:pageBreakBefore w:val="0"/>
        <w:wordWrap/>
        <w:topLinePunct w:val="0"/>
        <w:bidi w:val="0"/>
        <w:spacing w:line="288" w:lineRule="auto"/>
        <w:ind w:right="0" w:rightChars="0" w:firstLine="456" w:firstLineChars="200"/>
        <w:jc w:val="left"/>
        <w:rPr>
          <w:rFonts w:hint="eastAsia" w:ascii="宋体" w:hAnsi="宋体" w:eastAsia="宋体" w:cs="宋体"/>
          <w:color w:val="0D0D0D" w:themeColor="text1" w:themeTint="F2"/>
          <w:spacing w:val="-6"/>
          <w:sz w:val="24"/>
          <w:szCs w:val="24"/>
          <w:u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本工程为</w:t>
      </w:r>
      <w:r>
        <w:rPr>
          <w:rFonts w:hint="eastAsia" w:ascii="宋体" w:hAnsi="宋体" w:eastAsia="宋体" w:cs="宋体"/>
          <w:color w:val="FF0000"/>
          <w:spacing w:val="-6"/>
          <w:sz w:val="24"/>
          <w:szCs w:val="24"/>
          <w:u w:val="single"/>
        </w:rPr>
        <w:t xml:space="preserve">  商业用房  </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改造前使用功能为商业</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餐饮</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本次改造</w:t>
      </w:r>
      <w:r>
        <w:rPr>
          <w:rFonts w:hint="eastAsia" w:ascii="宋体" w:hAnsi="宋体" w:eastAsia="宋体" w:cs="宋体"/>
          <w:color w:val="FF0000"/>
          <w:spacing w:val="-6"/>
          <w:sz w:val="24"/>
          <w:szCs w:val="24"/>
          <w:u w:val="single"/>
          <w:lang w:val="en-US" w:eastAsia="zh-CN"/>
        </w:rPr>
        <w:t>后功能</w:t>
      </w:r>
      <w:r>
        <w:rPr>
          <w:rFonts w:hint="eastAsia" w:ascii="宋体" w:hAnsi="宋体" w:eastAsia="宋体" w:cs="宋体"/>
          <w:color w:val="FF0000"/>
          <w:spacing w:val="-6"/>
          <w:sz w:val="24"/>
          <w:szCs w:val="24"/>
          <w:u w:val="single"/>
        </w:rPr>
        <w:t>为</w:t>
      </w:r>
      <w:r>
        <w:rPr>
          <w:rFonts w:hint="eastAsia" w:ascii="宋体" w:hAnsi="宋体" w:eastAsia="宋体" w:cs="宋体"/>
          <w:color w:val="FF0000"/>
          <w:spacing w:val="-6"/>
          <w:sz w:val="24"/>
          <w:szCs w:val="24"/>
          <w:u w:val="single"/>
          <w:lang w:val="en-US" w:eastAsia="zh-CN"/>
        </w:rPr>
        <w:t>商业</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KTV</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改造区域所在</w:t>
      </w:r>
      <w:r>
        <w:rPr>
          <w:rFonts w:hint="eastAsia" w:ascii="宋体" w:hAnsi="宋体" w:eastAsia="宋体" w:cs="宋体"/>
          <w:color w:val="FF0000"/>
          <w:spacing w:val="7"/>
          <w:sz w:val="24"/>
          <w:szCs w:val="24"/>
          <w:u w:val="single"/>
          <w:lang w:val="en-US" w:eastAsia="zh-CN"/>
        </w:rPr>
        <w:t>防火分区改造前建筑面积为3549平方米，改造后防火分区面积依然为3549平方米</w:t>
      </w:r>
      <w:r>
        <w:rPr>
          <w:rFonts w:hint="eastAsia" w:ascii="宋体" w:hAnsi="宋体" w:eastAsia="宋体" w:cs="宋体"/>
          <w:color w:val="0D0D0D" w:themeColor="text1" w:themeTint="F2"/>
          <w:spacing w:val="7"/>
          <w:sz w:val="24"/>
          <w:szCs w:val="24"/>
          <w:lang w:val="en-US" w:eastAsia="zh-CN"/>
          <w14:textFill>
            <w14:solidFill>
              <w14:schemeClr w14:val="tx1">
                <w14:lumMod w14:val="95000"/>
                <w14:lumOff w14:val="5000"/>
              </w14:schemeClr>
            </w14:solidFill>
          </w14:textFill>
        </w:rPr>
        <w:t>。</w:t>
      </w:r>
    </w:p>
    <w:p w14:paraId="2AAE77FC">
      <w:pPr>
        <w:keepNext w:val="0"/>
        <w:pageBreakBefore w:val="0"/>
        <w:wordWrap/>
        <w:topLinePunct w:val="0"/>
        <w:bidi w:val="0"/>
        <w:spacing w:line="288" w:lineRule="auto"/>
        <w:ind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本次改造：□是 ☑否 改变使用功能；□是 ☑否 </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改变建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筑面积；</w:t>
      </w:r>
    </w:p>
    <w:p w14:paraId="1D09DCB3">
      <w:pPr>
        <w:keepNext w:val="0"/>
        <w:pageBreakBefore w:val="0"/>
        <w:wordWrap/>
        <w:topLinePunct w:val="0"/>
        <w:bidi w:val="0"/>
        <w:spacing w:line="288" w:lineRule="auto"/>
        <w:ind w:right="0" w:rightChars="0" w:firstLine="1680" w:firstLineChars="7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□是 ☑否 改变防火分区；□是 ☑否 </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建筑外立面</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p w14:paraId="070EEA41">
      <w:pPr>
        <w:keepNext w:val="0"/>
        <w:pageBreakBefore w:val="0"/>
        <w:wordWrap/>
        <w:topLinePunct w:val="0"/>
        <w:bidi w:val="0"/>
        <w:spacing w:line="288" w:lineRule="auto"/>
        <w:ind w:right="0" w:rightChars="0" w:firstLine="1680" w:firstLineChars="700"/>
        <w:jc w:val="left"/>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□是 ☑否 改变</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外保温</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p w14:paraId="1D8482D5">
      <w:pPr>
        <w:keepNext w:val="0"/>
        <w:pageBreakBefore w:val="0"/>
        <w:wordWrap/>
        <w:topLinePunct w:val="0"/>
        <w:bidi w:val="0"/>
        <w:spacing w:line="288" w:lineRule="auto"/>
        <w:ind w:right="0" w:rightChars="0"/>
        <w:jc w:val="left"/>
        <w:rPr>
          <w:rFonts w:hint="eastAsia" w:ascii="宋体" w:hAnsi="宋体" w:eastAsia="宋体" w:cs="宋体"/>
          <w:color w:val="FF0000"/>
          <w:spacing w:val="-2"/>
          <w:sz w:val="22"/>
          <w:szCs w:val="22"/>
          <w:lang w:val="en-US" w:eastAsia="zh-CN"/>
        </w:rPr>
      </w:pPr>
      <w:r>
        <w:rPr>
          <w:rFonts w:hint="eastAsia" w:ascii="宋体" w:hAnsi="宋体" w:eastAsia="宋体" w:cs="宋体"/>
          <w:color w:val="FF0000"/>
          <w:sz w:val="20"/>
          <w:szCs w:val="20"/>
          <w:lang w:val="en-US" w:eastAsia="zh-CN"/>
        </w:rPr>
        <w:t>（注：</w:t>
      </w:r>
      <w:r>
        <w:rPr>
          <w:rFonts w:hint="eastAsia" w:ascii="宋体" w:hAnsi="宋体" w:eastAsia="宋体" w:cs="宋体"/>
          <w:color w:val="FF0000"/>
          <w:sz w:val="20"/>
          <w:szCs w:val="20"/>
        </w:rPr>
        <w:t>使用功能</w:t>
      </w:r>
      <w:r>
        <w:rPr>
          <w:rFonts w:hint="eastAsia" w:ascii="宋体" w:hAnsi="宋体" w:eastAsia="宋体" w:cs="宋体"/>
          <w:color w:val="FF0000"/>
          <w:sz w:val="20"/>
          <w:szCs w:val="20"/>
          <w:lang w:val="en-US" w:eastAsia="zh-CN"/>
        </w:rPr>
        <w:t>是否改变的判定依据为</w:t>
      </w:r>
      <w:r>
        <w:rPr>
          <w:rFonts w:hint="eastAsia" w:ascii="宋体" w:hAnsi="宋体" w:eastAsia="宋体" w:cs="宋体"/>
          <w:color w:val="FF0000"/>
          <w:spacing w:val="-2"/>
          <w:sz w:val="20"/>
          <w:szCs w:val="20"/>
          <w:lang w:val="en-US" w:eastAsia="zh-CN"/>
        </w:rPr>
        <w:t>《苏州市城市更新既有建筑消防设计技术指南》第3.2.1条。）</w:t>
      </w:r>
    </w:p>
    <w:p w14:paraId="69057B6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1.2.3 改造定性</w:t>
      </w:r>
    </w:p>
    <w:p w14:paraId="02B744EB">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按照</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《苏州市城市更新既有建筑消防设计技术指南》苏住建消【2023】4号文意见，</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本次改造</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属于</w:t>
      </w:r>
      <w:r>
        <w:rPr>
          <w:rFonts w:hint="eastAsia" w:ascii="宋体" w:hAnsi="宋体" w:eastAsia="宋体" w:cs="宋体"/>
          <w:b/>
          <w:bCs/>
          <w:color w:val="FF0000"/>
          <w:spacing w:val="-2"/>
          <w:sz w:val="24"/>
          <w:szCs w:val="24"/>
          <w:u w:val="single"/>
          <w:lang w:val="en-US" w:eastAsia="zh-CN"/>
        </w:rPr>
        <w:t>功能和防火分区均未发生改变的建筑局部更新改造</w:t>
      </w:r>
      <w:r>
        <w:rPr>
          <w:rFonts w:hint="eastAsia" w:ascii="宋体" w:hAnsi="宋体" w:eastAsia="宋体" w:cs="宋体"/>
          <w:color w:val="0D0D0D" w:themeColor="text1" w:themeTint="F2"/>
          <w:spacing w:val="-6"/>
          <w:sz w:val="24"/>
          <w:szCs w:val="24"/>
          <w:u w:val="none"/>
          <w:lang w:eastAsia="zh-CN"/>
          <w14:textFill>
            <w14:solidFill>
              <w14:schemeClr w14:val="tx1">
                <w14:lumMod w14:val="95000"/>
                <w14:lumOff w14:val="5000"/>
              </w14:schemeClr>
            </w14:solidFill>
          </w14:textFill>
        </w:rPr>
        <w:t>。</w:t>
      </w:r>
    </w:p>
    <w:p w14:paraId="1DBAA31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1.2.</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存在问题</w:t>
      </w:r>
    </w:p>
    <w:p w14:paraId="2D8487E1">
      <w:pPr>
        <w:keepNext w:val="0"/>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按照《既有建筑改造消防技术可行性评估报告》所确定的消防设计执行标准，因现状条件所限，尚不能满足要求的部分： </w:t>
      </w:r>
      <w:r>
        <w:rPr>
          <w:rFonts w:hint="eastAsia" w:ascii="宋体" w:hAnsi="宋体" w:eastAsia="宋体" w:cs="宋体"/>
          <w:color w:val="FF0000"/>
          <w:spacing w:val="-6"/>
          <w:sz w:val="24"/>
          <w:szCs w:val="24"/>
          <w:u w:val="single"/>
        </w:rPr>
        <w:t xml:space="preserve">  无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w:t>
      </w:r>
      <w:r>
        <w:rPr>
          <w:rFonts w:hint="eastAsia" w:ascii="宋体" w:hAnsi="宋体" w:eastAsia="宋体" w:cs="宋体"/>
          <w:color w:val="FF0000"/>
          <w:sz w:val="24"/>
          <w:szCs w:val="24"/>
          <w:lang w:val="en-US" w:eastAsia="zh-CN"/>
        </w:rPr>
        <w:t>（如有需补充）</w:t>
      </w:r>
    </w:p>
    <w:p w14:paraId="2B66E18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pPr>
    </w:p>
    <w:p w14:paraId="505D94A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1.3</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主要技术指标</w:t>
      </w:r>
    </w:p>
    <w:p w14:paraId="311BF926">
      <w:pPr>
        <w:pStyle w:val="19"/>
        <w:keepNext w:val="0"/>
        <w:pageBreakBefore w:val="0"/>
        <w:widowControl w:val="0"/>
        <w:kinsoku/>
        <w:wordWrap/>
        <w:topLinePunct w:val="0"/>
        <w:autoSpaceDE/>
        <w:autoSpaceDN/>
        <w:bidi w:val="0"/>
        <w:snapToGrid/>
        <w:spacing w:line="288" w:lineRule="auto"/>
        <w:ind w:left="0" w:leftChars="0" w:right="0" w:rightChars="0" w:firstLine="0" w:firstLineChars="0"/>
        <w:jc w:val="left"/>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1.3.1 改造前、后总体</w:t>
      </w:r>
      <w:r>
        <w:rPr>
          <w:rFonts w:hint="eastAsia" w:ascii="宋体" w:hAnsi="宋体" w:eastAsia="宋体" w:cs="宋体"/>
          <w:sz w:val="24"/>
          <w:szCs w:val="24"/>
          <w:lang w:val="en-US"/>
        </w:rPr>
        <w:t>技术指标</w:t>
      </w:r>
    </w:p>
    <w:p w14:paraId="1931E8AB">
      <w:pPr>
        <w:pStyle w:val="19"/>
        <w:keepNext w:val="0"/>
        <w:pageBreakBefore w:val="0"/>
        <w:widowControl w:val="0"/>
        <w:kinsoku/>
        <w:wordWrap/>
        <w:topLinePunct w:val="0"/>
        <w:autoSpaceDE/>
        <w:autoSpaceDN/>
        <w:bidi w:val="0"/>
        <w:snapToGrid/>
        <w:spacing w:line="288" w:lineRule="auto"/>
        <w:ind w:left="0" w:leftChars="0" w:right="0" w:rightChars="0" w:firstLine="0" w:firstLineChars="0"/>
        <w:jc w:val="left"/>
        <w:textAlignment w:val="auto"/>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sz w:val="24"/>
          <w:szCs w:val="24"/>
          <w:lang w:val="en-US" w:eastAsia="zh-CN"/>
        </w:rPr>
        <w:t>（</w:t>
      </w: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本次</w:t>
      </w: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改造内容不涉及技术指标调整，无需进行指标对比</w:t>
      </w:r>
      <w:r>
        <w:rPr>
          <w:rFonts w:hint="eastAsia" w:ascii="宋体" w:hAnsi="宋体" w:eastAsia="宋体" w:cs="宋体"/>
          <w:sz w:val="24"/>
          <w:szCs w:val="24"/>
          <w:lang w:val="en-US" w:eastAsia="zh-CN"/>
        </w:rPr>
        <w:t>）</w:t>
      </w:r>
    </w:p>
    <w:p w14:paraId="2AB7B50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sz w:val="24"/>
          <w:szCs w:val="24"/>
        </w:rPr>
        <w:t>1.3.2 改造前单体技术指标</w:t>
      </w:r>
      <w:r>
        <w:rPr>
          <w:rFonts w:hint="eastAsia" w:ascii="宋体" w:hAnsi="宋体" w:eastAsia="宋体" w:cs="宋体"/>
          <w:color w:val="auto"/>
          <w:sz w:val="24"/>
          <w:szCs w:val="24"/>
        </w:rPr>
        <w:t>见表。（只填写涉及改造的单体工程）</w:t>
      </w:r>
    </w:p>
    <w:tbl>
      <w:tblPr>
        <w:tblStyle w:val="1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682"/>
        <w:gridCol w:w="720"/>
        <w:gridCol w:w="810"/>
        <w:gridCol w:w="690"/>
        <w:gridCol w:w="1080"/>
        <w:gridCol w:w="735"/>
        <w:gridCol w:w="1185"/>
        <w:gridCol w:w="1674"/>
      </w:tblGrid>
      <w:tr w14:paraId="1E61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14:paraId="2F280A57">
            <w:pPr>
              <w:jc w:val="center"/>
              <w:rPr>
                <w:rFonts w:hint="eastAsia" w:ascii="宋体" w:hAnsi="宋体" w:eastAsia="宋体" w:cs="宋体"/>
                <w:b w:val="0"/>
                <w:bCs w:val="0"/>
                <w:sz w:val="21"/>
                <w:szCs w:val="21"/>
                <w:vertAlign w:val="baseline"/>
              </w:rPr>
            </w:pPr>
            <w:r>
              <w:rPr>
                <w:rFonts w:hint="eastAsia" w:ascii="宋体" w:hAnsi="宋体" w:eastAsia="宋体"/>
              </w:rPr>
              <w:t>单体建筑名称</w:t>
            </w:r>
          </w:p>
        </w:tc>
        <w:tc>
          <w:tcPr>
            <w:tcW w:w="682" w:type="dxa"/>
            <w:vAlign w:val="center"/>
          </w:tcPr>
          <w:p w14:paraId="01A3273D">
            <w:pPr>
              <w:jc w:val="center"/>
              <w:rPr>
                <w:rFonts w:hint="eastAsia" w:ascii="宋体" w:hAnsi="宋体" w:eastAsia="宋体"/>
              </w:rPr>
            </w:pPr>
            <w:r>
              <w:rPr>
                <w:rFonts w:hint="eastAsia" w:ascii="宋体" w:hAnsi="宋体" w:eastAsia="宋体"/>
              </w:rPr>
              <w:t>结构</w:t>
            </w:r>
          </w:p>
          <w:p w14:paraId="6C3FFE23">
            <w:pPr>
              <w:jc w:val="center"/>
              <w:rPr>
                <w:rFonts w:hint="eastAsia" w:ascii="宋体" w:hAnsi="宋体" w:eastAsia="宋体" w:cs="宋体"/>
                <w:b w:val="0"/>
                <w:bCs w:val="0"/>
                <w:sz w:val="21"/>
                <w:szCs w:val="21"/>
                <w:vertAlign w:val="baseline"/>
              </w:rPr>
            </w:pPr>
            <w:r>
              <w:rPr>
                <w:rFonts w:hint="eastAsia" w:ascii="宋体" w:hAnsi="宋体" w:eastAsia="宋体"/>
              </w:rPr>
              <w:t>类型</w:t>
            </w:r>
          </w:p>
        </w:tc>
        <w:tc>
          <w:tcPr>
            <w:tcW w:w="720" w:type="dxa"/>
            <w:vAlign w:val="center"/>
          </w:tcPr>
          <w:p w14:paraId="1B492BD1">
            <w:pPr>
              <w:jc w:val="center"/>
              <w:rPr>
                <w:rFonts w:hint="eastAsia" w:ascii="宋体" w:hAnsi="宋体" w:eastAsia="宋体" w:cs="宋体"/>
                <w:b w:val="0"/>
                <w:bCs w:val="0"/>
                <w:sz w:val="21"/>
                <w:szCs w:val="21"/>
                <w:vertAlign w:val="baseline"/>
              </w:rPr>
            </w:pPr>
            <w:r>
              <w:rPr>
                <w:rFonts w:hint="eastAsia" w:ascii="宋体" w:hAnsi="宋体" w:eastAsia="宋体"/>
              </w:rPr>
              <w:t>耐火等级</w:t>
            </w:r>
          </w:p>
        </w:tc>
        <w:tc>
          <w:tcPr>
            <w:tcW w:w="810" w:type="dxa"/>
            <w:vAlign w:val="center"/>
          </w:tcPr>
          <w:p w14:paraId="019F5A99">
            <w:pPr>
              <w:jc w:val="center"/>
              <w:rPr>
                <w:rFonts w:hint="eastAsia" w:ascii="宋体" w:hAnsi="宋体" w:eastAsia="宋体" w:cs="宋体"/>
                <w:b w:val="0"/>
                <w:bCs w:val="0"/>
                <w:sz w:val="21"/>
                <w:szCs w:val="21"/>
                <w:vertAlign w:val="baseline"/>
              </w:rPr>
            </w:pPr>
            <w:r>
              <w:rPr>
                <w:rFonts w:hint="eastAsia" w:ascii="宋体" w:hAnsi="宋体" w:eastAsia="宋体"/>
                <w:position w:val="-6"/>
              </w:rPr>
              <w:t>建筑高度(m)</w:t>
            </w:r>
          </w:p>
        </w:tc>
        <w:tc>
          <w:tcPr>
            <w:tcW w:w="690" w:type="dxa"/>
            <w:vAlign w:val="center"/>
          </w:tcPr>
          <w:p w14:paraId="415F3F1B">
            <w:pPr>
              <w:jc w:val="center"/>
              <w:rPr>
                <w:rFonts w:hint="eastAsia" w:ascii="宋体" w:hAnsi="宋体" w:eastAsia="宋体"/>
                <w:position w:val="-6"/>
              </w:rPr>
            </w:pPr>
            <w:r>
              <w:rPr>
                <w:rFonts w:hint="eastAsia" w:ascii="宋体" w:hAnsi="宋体" w:eastAsia="宋体"/>
                <w:position w:val="-6"/>
              </w:rPr>
              <w:t>地上</w:t>
            </w:r>
          </w:p>
          <w:p w14:paraId="42C1C136">
            <w:pPr>
              <w:jc w:val="center"/>
              <w:rPr>
                <w:rFonts w:hint="eastAsia" w:ascii="宋体" w:hAnsi="宋体" w:eastAsia="宋体" w:cs="宋体"/>
                <w:b w:val="0"/>
                <w:bCs w:val="0"/>
                <w:sz w:val="21"/>
                <w:szCs w:val="21"/>
                <w:vertAlign w:val="baseline"/>
              </w:rPr>
            </w:pPr>
            <w:r>
              <w:rPr>
                <w:rFonts w:hint="eastAsia" w:ascii="宋体" w:hAnsi="宋体" w:eastAsia="宋体"/>
                <w:position w:val="-6"/>
              </w:rPr>
              <w:t>层数</w:t>
            </w:r>
          </w:p>
        </w:tc>
        <w:tc>
          <w:tcPr>
            <w:tcW w:w="1080" w:type="dxa"/>
            <w:vAlign w:val="center"/>
          </w:tcPr>
          <w:p w14:paraId="79128812">
            <w:pPr>
              <w:jc w:val="center"/>
              <w:rPr>
                <w:rFonts w:hint="eastAsia" w:ascii="宋体" w:hAnsi="宋体" w:eastAsia="宋体" w:cs="宋体"/>
                <w:b w:val="0"/>
                <w:bCs w:val="0"/>
                <w:sz w:val="21"/>
                <w:szCs w:val="21"/>
                <w:vertAlign w:val="baseline"/>
              </w:rPr>
            </w:pPr>
            <w:r>
              <w:rPr>
                <w:rFonts w:hint="eastAsia" w:ascii="宋体" w:hAnsi="宋体" w:eastAsia="宋体"/>
                <w:position w:val="-6"/>
              </w:rPr>
              <w:t>地上建筑面积(㎡)</w:t>
            </w:r>
          </w:p>
        </w:tc>
        <w:tc>
          <w:tcPr>
            <w:tcW w:w="735" w:type="dxa"/>
            <w:vAlign w:val="center"/>
          </w:tcPr>
          <w:p w14:paraId="147FFE0D">
            <w:pPr>
              <w:jc w:val="center"/>
              <w:rPr>
                <w:rFonts w:hint="eastAsia" w:ascii="宋体" w:hAnsi="宋体" w:eastAsia="宋体"/>
                <w:position w:val="-6"/>
              </w:rPr>
            </w:pPr>
            <w:r>
              <w:rPr>
                <w:rFonts w:hint="eastAsia" w:ascii="宋体" w:hAnsi="宋体" w:eastAsia="宋体"/>
                <w:position w:val="-6"/>
              </w:rPr>
              <w:t>地下</w:t>
            </w:r>
          </w:p>
          <w:p w14:paraId="559233BF">
            <w:pPr>
              <w:jc w:val="center"/>
              <w:rPr>
                <w:rFonts w:hint="eastAsia" w:ascii="宋体" w:hAnsi="宋体" w:eastAsia="宋体" w:cs="宋体"/>
                <w:b w:val="0"/>
                <w:bCs w:val="0"/>
                <w:sz w:val="21"/>
                <w:szCs w:val="21"/>
                <w:vertAlign w:val="baseline"/>
              </w:rPr>
            </w:pPr>
            <w:r>
              <w:rPr>
                <w:rFonts w:hint="eastAsia" w:ascii="宋体" w:hAnsi="宋体" w:eastAsia="宋体"/>
                <w:position w:val="-6"/>
              </w:rPr>
              <w:t>层数</w:t>
            </w:r>
          </w:p>
        </w:tc>
        <w:tc>
          <w:tcPr>
            <w:tcW w:w="1185" w:type="dxa"/>
            <w:vAlign w:val="center"/>
          </w:tcPr>
          <w:p w14:paraId="5FC854AA">
            <w:pPr>
              <w:jc w:val="center"/>
              <w:rPr>
                <w:rFonts w:hint="eastAsia" w:ascii="宋体" w:hAnsi="宋体" w:eastAsia="宋体" w:cs="宋体"/>
                <w:b w:val="0"/>
                <w:bCs w:val="0"/>
                <w:sz w:val="21"/>
                <w:szCs w:val="21"/>
                <w:vertAlign w:val="baseline"/>
              </w:rPr>
            </w:pPr>
            <w:r>
              <w:rPr>
                <w:rFonts w:hint="eastAsia" w:ascii="宋体" w:hAnsi="宋体" w:eastAsia="宋体"/>
                <w:position w:val="-6"/>
              </w:rPr>
              <w:t>地下建筑面积(㎡)</w:t>
            </w:r>
          </w:p>
        </w:tc>
        <w:tc>
          <w:tcPr>
            <w:tcW w:w="1674" w:type="dxa"/>
            <w:vAlign w:val="center"/>
          </w:tcPr>
          <w:p w14:paraId="5BE2CCD4">
            <w:pPr>
              <w:jc w:val="center"/>
              <w:rPr>
                <w:rFonts w:hint="eastAsia" w:ascii="宋体" w:hAnsi="宋体" w:eastAsia="宋体"/>
                <w:position w:val="-6"/>
              </w:rPr>
            </w:pPr>
            <w:r>
              <w:rPr>
                <w:rFonts w:hint="eastAsia" w:ascii="宋体" w:hAnsi="宋体" w:eastAsia="宋体"/>
                <w:position w:val="-6"/>
              </w:rPr>
              <w:t>规划</w:t>
            </w:r>
          </w:p>
          <w:p w14:paraId="5DC332B0">
            <w:pPr>
              <w:jc w:val="center"/>
              <w:rPr>
                <w:rFonts w:hint="eastAsia" w:ascii="宋体" w:hAnsi="宋体" w:eastAsia="宋体" w:cs="宋体"/>
                <w:b w:val="0"/>
                <w:bCs w:val="0"/>
                <w:sz w:val="21"/>
                <w:szCs w:val="21"/>
                <w:vertAlign w:val="baseline"/>
              </w:rPr>
            </w:pPr>
            <w:r>
              <w:rPr>
                <w:rFonts w:hint="eastAsia" w:ascii="宋体" w:hAnsi="宋体" w:eastAsia="宋体"/>
                <w:position w:val="-6"/>
              </w:rPr>
              <w:t>用途</w:t>
            </w:r>
          </w:p>
        </w:tc>
      </w:tr>
      <w:tr w14:paraId="2B50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14:paraId="65215796">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pacing w:val="-6"/>
                <w:sz w:val="21"/>
                <w:szCs w:val="21"/>
              </w:rPr>
              <w:t>时代广场购物商城</w:t>
            </w:r>
          </w:p>
        </w:tc>
        <w:tc>
          <w:tcPr>
            <w:tcW w:w="682" w:type="dxa"/>
            <w:vAlign w:val="center"/>
          </w:tcPr>
          <w:p w14:paraId="316AB7F1">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lang w:val="zh-CN"/>
              </w:rPr>
              <w:t>框架</w:t>
            </w:r>
          </w:p>
        </w:tc>
        <w:tc>
          <w:tcPr>
            <w:tcW w:w="720" w:type="dxa"/>
            <w:vAlign w:val="center"/>
          </w:tcPr>
          <w:p w14:paraId="08B166E3">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rPr>
              <w:t>一级</w:t>
            </w:r>
          </w:p>
        </w:tc>
        <w:tc>
          <w:tcPr>
            <w:tcW w:w="810" w:type="dxa"/>
            <w:vAlign w:val="center"/>
          </w:tcPr>
          <w:p w14:paraId="7140E1E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rPr>
              <w:t>24.0</w:t>
            </w:r>
          </w:p>
        </w:tc>
        <w:tc>
          <w:tcPr>
            <w:tcW w:w="690" w:type="dxa"/>
            <w:vAlign w:val="center"/>
          </w:tcPr>
          <w:p w14:paraId="6F265286">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rPr>
              <w:t>4</w:t>
            </w:r>
          </w:p>
        </w:tc>
        <w:tc>
          <w:tcPr>
            <w:tcW w:w="1080" w:type="dxa"/>
            <w:vAlign w:val="center"/>
          </w:tcPr>
          <w:p w14:paraId="0DA87729">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pacing w:val="-6"/>
                <w:sz w:val="21"/>
                <w:szCs w:val="21"/>
                <w:lang w:val="en-US" w:eastAsia="zh-CN"/>
              </w:rPr>
              <w:t>99436</w:t>
            </w:r>
          </w:p>
        </w:tc>
        <w:tc>
          <w:tcPr>
            <w:tcW w:w="735" w:type="dxa"/>
            <w:vAlign w:val="center"/>
          </w:tcPr>
          <w:p w14:paraId="14641657">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rPr>
              <w:t>2</w:t>
            </w:r>
          </w:p>
        </w:tc>
        <w:tc>
          <w:tcPr>
            <w:tcW w:w="1185" w:type="dxa"/>
            <w:vAlign w:val="center"/>
          </w:tcPr>
          <w:p w14:paraId="1C85D75F">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pacing w:val="-6"/>
                <w:sz w:val="21"/>
                <w:szCs w:val="21"/>
                <w:lang w:val="en-US" w:eastAsia="zh-CN"/>
              </w:rPr>
              <w:t>75464</w:t>
            </w:r>
          </w:p>
        </w:tc>
        <w:tc>
          <w:tcPr>
            <w:tcW w:w="1674" w:type="dxa"/>
            <w:vAlign w:val="center"/>
          </w:tcPr>
          <w:p w14:paraId="4B48315D">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val="0"/>
                <w:bCs w:val="0"/>
                <w:sz w:val="21"/>
                <w:szCs w:val="21"/>
                <w:vertAlign w:val="baseline"/>
              </w:rPr>
            </w:pPr>
            <w:r>
              <w:rPr>
                <w:rFonts w:hint="eastAsia" w:ascii="宋体" w:hAnsi="宋体" w:eastAsia="宋体" w:cs="宋体"/>
                <w:color w:val="FF0000"/>
                <w:sz w:val="21"/>
                <w:szCs w:val="21"/>
              </w:rPr>
              <w:t>商业</w:t>
            </w:r>
            <w:r>
              <w:rPr>
                <w:rFonts w:hint="eastAsia" w:ascii="宋体" w:hAnsi="宋体" w:eastAsia="宋体" w:cs="宋体"/>
                <w:color w:val="FF0000"/>
                <w:sz w:val="21"/>
                <w:szCs w:val="21"/>
                <w:lang w:val="en-US" w:eastAsia="zh-CN"/>
              </w:rPr>
              <w:t>/车库</w:t>
            </w:r>
          </w:p>
        </w:tc>
      </w:tr>
    </w:tbl>
    <w:p w14:paraId="385387D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sz w:val="24"/>
          <w:szCs w:val="24"/>
        </w:rPr>
        <w:t>1.3.3 改造后单体技术指标</w:t>
      </w:r>
      <w:r>
        <w:rPr>
          <w:rFonts w:hint="eastAsia" w:ascii="宋体" w:hAnsi="宋体" w:eastAsia="宋体" w:cs="宋体"/>
          <w:color w:val="auto"/>
          <w:sz w:val="24"/>
          <w:szCs w:val="24"/>
        </w:rPr>
        <w:t>见表。（只填写涉及改造的单体工程）</w:t>
      </w:r>
    </w:p>
    <w:tbl>
      <w:tblPr>
        <w:tblStyle w:val="1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682"/>
        <w:gridCol w:w="720"/>
        <w:gridCol w:w="810"/>
        <w:gridCol w:w="690"/>
        <w:gridCol w:w="1080"/>
        <w:gridCol w:w="735"/>
        <w:gridCol w:w="1185"/>
        <w:gridCol w:w="1674"/>
      </w:tblGrid>
      <w:tr w14:paraId="1D7D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14:paraId="560CB9AA">
            <w:pPr>
              <w:jc w:val="center"/>
              <w:rPr>
                <w:rFonts w:hint="eastAsia" w:ascii="宋体" w:hAnsi="宋体" w:eastAsia="宋体" w:cs="宋体"/>
                <w:b w:val="0"/>
                <w:bCs w:val="0"/>
                <w:sz w:val="21"/>
                <w:szCs w:val="21"/>
                <w:vertAlign w:val="baseline"/>
              </w:rPr>
            </w:pPr>
            <w:r>
              <w:rPr>
                <w:rFonts w:hint="eastAsia" w:ascii="宋体" w:hAnsi="宋体" w:eastAsia="宋体"/>
              </w:rPr>
              <w:t>单体建筑名称</w:t>
            </w:r>
          </w:p>
        </w:tc>
        <w:tc>
          <w:tcPr>
            <w:tcW w:w="682" w:type="dxa"/>
            <w:vAlign w:val="center"/>
          </w:tcPr>
          <w:p w14:paraId="63AB286E">
            <w:pPr>
              <w:jc w:val="center"/>
              <w:rPr>
                <w:rFonts w:hint="eastAsia" w:ascii="宋体" w:hAnsi="宋体" w:eastAsia="宋体"/>
              </w:rPr>
            </w:pPr>
            <w:r>
              <w:rPr>
                <w:rFonts w:hint="eastAsia" w:ascii="宋体" w:hAnsi="宋体" w:eastAsia="宋体"/>
              </w:rPr>
              <w:t>结构</w:t>
            </w:r>
          </w:p>
          <w:p w14:paraId="3BEAFD37">
            <w:pPr>
              <w:jc w:val="center"/>
              <w:rPr>
                <w:rFonts w:hint="eastAsia" w:ascii="宋体" w:hAnsi="宋体" w:eastAsia="宋体" w:cs="宋体"/>
                <w:b w:val="0"/>
                <w:bCs w:val="0"/>
                <w:sz w:val="21"/>
                <w:szCs w:val="21"/>
                <w:vertAlign w:val="baseline"/>
              </w:rPr>
            </w:pPr>
            <w:r>
              <w:rPr>
                <w:rFonts w:hint="eastAsia" w:ascii="宋体" w:hAnsi="宋体" w:eastAsia="宋体"/>
              </w:rPr>
              <w:t>类型</w:t>
            </w:r>
          </w:p>
        </w:tc>
        <w:tc>
          <w:tcPr>
            <w:tcW w:w="720" w:type="dxa"/>
            <w:vAlign w:val="center"/>
          </w:tcPr>
          <w:p w14:paraId="3B7549CC">
            <w:pPr>
              <w:jc w:val="center"/>
              <w:rPr>
                <w:rFonts w:hint="eastAsia" w:ascii="宋体" w:hAnsi="宋体" w:eastAsia="宋体" w:cs="宋体"/>
                <w:b w:val="0"/>
                <w:bCs w:val="0"/>
                <w:sz w:val="21"/>
                <w:szCs w:val="21"/>
                <w:vertAlign w:val="baseline"/>
              </w:rPr>
            </w:pPr>
            <w:r>
              <w:rPr>
                <w:rFonts w:hint="eastAsia" w:ascii="宋体" w:hAnsi="宋体" w:eastAsia="宋体"/>
              </w:rPr>
              <w:t>耐火等级</w:t>
            </w:r>
          </w:p>
        </w:tc>
        <w:tc>
          <w:tcPr>
            <w:tcW w:w="810" w:type="dxa"/>
            <w:vAlign w:val="center"/>
          </w:tcPr>
          <w:p w14:paraId="297AF2E3">
            <w:pPr>
              <w:jc w:val="center"/>
              <w:rPr>
                <w:rFonts w:hint="eastAsia" w:ascii="宋体" w:hAnsi="宋体" w:eastAsia="宋体" w:cs="宋体"/>
                <w:b w:val="0"/>
                <w:bCs w:val="0"/>
                <w:sz w:val="21"/>
                <w:szCs w:val="21"/>
                <w:vertAlign w:val="baseline"/>
              </w:rPr>
            </w:pPr>
            <w:r>
              <w:rPr>
                <w:rFonts w:hint="eastAsia" w:ascii="宋体" w:hAnsi="宋体" w:eastAsia="宋体"/>
                <w:position w:val="-6"/>
              </w:rPr>
              <w:t>建筑高度(m)</w:t>
            </w:r>
          </w:p>
        </w:tc>
        <w:tc>
          <w:tcPr>
            <w:tcW w:w="690" w:type="dxa"/>
            <w:vAlign w:val="center"/>
          </w:tcPr>
          <w:p w14:paraId="4AB6BED3">
            <w:pPr>
              <w:jc w:val="center"/>
              <w:rPr>
                <w:rFonts w:hint="eastAsia" w:ascii="宋体" w:hAnsi="宋体" w:eastAsia="宋体"/>
                <w:position w:val="-6"/>
              </w:rPr>
            </w:pPr>
            <w:r>
              <w:rPr>
                <w:rFonts w:hint="eastAsia" w:ascii="宋体" w:hAnsi="宋体" w:eastAsia="宋体"/>
                <w:position w:val="-6"/>
              </w:rPr>
              <w:t>地上</w:t>
            </w:r>
          </w:p>
          <w:p w14:paraId="38C5A867">
            <w:pPr>
              <w:jc w:val="center"/>
              <w:rPr>
                <w:rFonts w:hint="eastAsia" w:ascii="宋体" w:hAnsi="宋体" w:eastAsia="宋体" w:cs="宋体"/>
                <w:b w:val="0"/>
                <w:bCs w:val="0"/>
                <w:sz w:val="21"/>
                <w:szCs w:val="21"/>
                <w:vertAlign w:val="baseline"/>
              </w:rPr>
            </w:pPr>
            <w:r>
              <w:rPr>
                <w:rFonts w:hint="eastAsia" w:ascii="宋体" w:hAnsi="宋体" w:eastAsia="宋体"/>
                <w:position w:val="-6"/>
              </w:rPr>
              <w:t>层数</w:t>
            </w:r>
          </w:p>
        </w:tc>
        <w:tc>
          <w:tcPr>
            <w:tcW w:w="1080" w:type="dxa"/>
            <w:vAlign w:val="center"/>
          </w:tcPr>
          <w:p w14:paraId="1535AFFF">
            <w:pPr>
              <w:jc w:val="center"/>
              <w:rPr>
                <w:rFonts w:hint="eastAsia" w:ascii="宋体" w:hAnsi="宋体" w:eastAsia="宋体" w:cs="宋体"/>
                <w:b w:val="0"/>
                <w:bCs w:val="0"/>
                <w:sz w:val="21"/>
                <w:szCs w:val="21"/>
                <w:vertAlign w:val="baseline"/>
              </w:rPr>
            </w:pPr>
            <w:r>
              <w:rPr>
                <w:rFonts w:hint="eastAsia" w:ascii="宋体" w:hAnsi="宋体" w:eastAsia="宋体"/>
                <w:position w:val="-6"/>
              </w:rPr>
              <w:t>地上建筑面积(㎡)</w:t>
            </w:r>
          </w:p>
        </w:tc>
        <w:tc>
          <w:tcPr>
            <w:tcW w:w="735" w:type="dxa"/>
            <w:vAlign w:val="center"/>
          </w:tcPr>
          <w:p w14:paraId="3A294F4F">
            <w:pPr>
              <w:jc w:val="center"/>
              <w:rPr>
                <w:rFonts w:hint="eastAsia" w:ascii="宋体" w:hAnsi="宋体" w:eastAsia="宋体"/>
                <w:position w:val="-6"/>
              </w:rPr>
            </w:pPr>
            <w:r>
              <w:rPr>
                <w:rFonts w:hint="eastAsia" w:ascii="宋体" w:hAnsi="宋体" w:eastAsia="宋体"/>
                <w:position w:val="-6"/>
              </w:rPr>
              <w:t>地下</w:t>
            </w:r>
          </w:p>
          <w:p w14:paraId="55DB2074">
            <w:pPr>
              <w:jc w:val="center"/>
              <w:rPr>
                <w:rFonts w:hint="eastAsia" w:ascii="宋体" w:hAnsi="宋体" w:eastAsia="宋体" w:cs="宋体"/>
                <w:b w:val="0"/>
                <w:bCs w:val="0"/>
                <w:sz w:val="21"/>
                <w:szCs w:val="21"/>
                <w:vertAlign w:val="baseline"/>
              </w:rPr>
            </w:pPr>
            <w:r>
              <w:rPr>
                <w:rFonts w:hint="eastAsia" w:ascii="宋体" w:hAnsi="宋体" w:eastAsia="宋体"/>
                <w:position w:val="-6"/>
              </w:rPr>
              <w:t>层数</w:t>
            </w:r>
          </w:p>
        </w:tc>
        <w:tc>
          <w:tcPr>
            <w:tcW w:w="1185" w:type="dxa"/>
            <w:vAlign w:val="center"/>
          </w:tcPr>
          <w:p w14:paraId="12900045">
            <w:pPr>
              <w:jc w:val="center"/>
              <w:rPr>
                <w:rFonts w:hint="eastAsia" w:ascii="宋体" w:hAnsi="宋体" w:eastAsia="宋体" w:cs="宋体"/>
                <w:b w:val="0"/>
                <w:bCs w:val="0"/>
                <w:sz w:val="21"/>
                <w:szCs w:val="21"/>
                <w:vertAlign w:val="baseline"/>
              </w:rPr>
            </w:pPr>
            <w:r>
              <w:rPr>
                <w:rFonts w:hint="eastAsia" w:ascii="宋体" w:hAnsi="宋体" w:eastAsia="宋体"/>
                <w:position w:val="-6"/>
              </w:rPr>
              <w:t>地下建筑面积(㎡)</w:t>
            </w:r>
          </w:p>
        </w:tc>
        <w:tc>
          <w:tcPr>
            <w:tcW w:w="1674" w:type="dxa"/>
            <w:vAlign w:val="center"/>
          </w:tcPr>
          <w:p w14:paraId="3A8E1123">
            <w:pPr>
              <w:jc w:val="center"/>
              <w:rPr>
                <w:rFonts w:hint="eastAsia" w:ascii="宋体" w:hAnsi="宋体" w:eastAsia="宋体"/>
                <w:position w:val="-6"/>
              </w:rPr>
            </w:pPr>
            <w:r>
              <w:rPr>
                <w:rFonts w:hint="eastAsia" w:ascii="宋体" w:hAnsi="宋体" w:eastAsia="宋体"/>
                <w:position w:val="-6"/>
              </w:rPr>
              <w:t>规划</w:t>
            </w:r>
          </w:p>
          <w:p w14:paraId="626EC986">
            <w:pPr>
              <w:jc w:val="center"/>
              <w:rPr>
                <w:rFonts w:hint="eastAsia" w:ascii="宋体" w:hAnsi="宋体" w:eastAsia="宋体" w:cs="宋体"/>
                <w:b w:val="0"/>
                <w:bCs w:val="0"/>
                <w:sz w:val="21"/>
                <w:szCs w:val="21"/>
                <w:vertAlign w:val="baseline"/>
              </w:rPr>
            </w:pPr>
            <w:r>
              <w:rPr>
                <w:rFonts w:hint="eastAsia" w:ascii="宋体" w:hAnsi="宋体" w:eastAsia="宋体"/>
                <w:position w:val="-6"/>
              </w:rPr>
              <w:t>用途</w:t>
            </w:r>
          </w:p>
        </w:tc>
      </w:tr>
      <w:tr w14:paraId="7312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6" w:type="dxa"/>
            <w:vAlign w:val="center"/>
          </w:tcPr>
          <w:p w14:paraId="02EBAA65">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时代广场购物商城</w:t>
            </w:r>
          </w:p>
        </w:tc>
        <w:tc>
          <w:tcPr>
            <w:tcW w:w="682" w:type="dxa"/>
            <w:vAlign w:val="center"/>
          </w:tcPr>
          <w:p w14:paraId="2D89FB0B">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lang w:val="zh-CN"/>
              </w:rPr>
              <w:t>框架</w:t>
            </w:r>
          </w:p>
        </w:tc>
        <w:tc>
          <w:tcPr>
            <w:tcW w:w="720" w:type="dxa"/>
            <w:vAlign w:val="center"/>
          </w:tcPr>
          <w:p w14:paraId="3BEF8886">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一级</w:t>
            </w:r>
          </w:p>
        </w:tc>
        <w:tc>
          <w:tcPr>
            <w:tcW w:w="810" w:type="dxa"/>
            <w:vAlign w:val="center"/>
          </w:tcPr>
          <w:p w14:paraId="67ED7216">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24.0</w:t>
            </w:r>
          </w:p>
        </w:tc>
        <w:tc>
          <w:tcPr>
            <w:tcW w:w="690" w:type="dxa"/>
            <w:vAlign w:val="center"/>
          </w:tcPr>
          <w:p w14:paraId="323F101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4</w:t>
            </w:r>
          </w:p>
        </w:tc>
        <w:tc>
          <w:tcPr>
            <w:tcW w:w="1080" w:type="dxa"/>
            <w:vAlign w:val="center"/>
          </w:tcPr>
          <w:p w14:paraId="308A8368">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9</w:t>
            </w:r>
            <w:r>
              <w:rPr>
                <w:rFonts w:hint="eastAsia" w:ascii="宋体" w:hAnsi="宋体" w:eastAsia="宋体" w:cs="宋体"/>
                <w:color w:val="FF0000"/>
                <w:spacing w:val="-6"/>
                <w:sz w:val="21"/>
                <w:szCs w:val="21"/>
                <w:lang w:val="en-US" w:eastAsia="zh-CN"/>
              </w:rPr>
              <w:t>9436</w:t>
            </w:r>
          </w:p>
        </w:tc>
        <w:tc>
          <w:tcPr>
            <w:tcW w:w="735" w:type="dxa"/>
            <w:vAlign w:val="center"/>
          </w:tcPr>
          <w:p w14:paraId="2ACB5A01">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2</w:t>
            </w:r>
          </w:p>
        </w:tc>
        <w:tc>
          <w:tcPr>
            <w:tcW w:w="1185" w:type="dxa"/>
            <w:vAlign w:val="center"/>
          </w:tcPr>
          <w:p w14:paraId="63C537BF">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lang w:val="en-US" w:eastAsia="zh-CN"/>
              </w:rPr>
              <w:t>75464</w:t>
            </w:r>
          </w:p>
        </w:tc>
        <w:tc>
          <w:tcPr>
            <w:tcW w:w="1674" w:type="dxa"/>
            <w:vAlign w:val="center"/>
          </w:tcPr>
          <w:p w14:paraId="61E9285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FF0000"/>
                <w:spacing w:val="-6"/>
                <w:sz w:val="21"/>
                <w:szCs w:val="21"/>
              </w:rPr>
            </w:pPr>
            <w:r>
              <w:rPr>
                <w:rFonts w:hint="eastAsia" w:ascii="宋体" w:hAnsi="宋体" w:eastAsia="宋体" w:cs="宋体"/>
                <w:color w:val="FF0000"/>
                <w:spacing w:val="-6"/>
                <w:sz w:val="21"/>
                <w:szCs w:val="21"/>
              </w:rPr>
              <w:t>商业</w:t>
            </w:r>
            <w:r>
              <w:rPr>
                <w:rFonts w:hint="eastAsia" w:ascii="宋体" w:hAnsi="宋体" w:eastAsia="宋体" w:cs="宋体"/>
                <w:color w:val="FF0000"/>
                <w:spacing w:val="-6"/>
                <w:sz w:val="21"/>
                <w:szCs w:val="21"/>
                <w:lang w:val="en-US" w:eastAsia="zh-CN"/>
              </w:rPr>
              <w:t>/车库</w:t>
            </w:r>
          </w:p>
        </w:tc>
      </w:tr>
    </w:tbl>
    <w:p w14:paraId="56F0C15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p>
    <w:p w14:paraId="2D9383F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1.4</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主要消防设施</w:t>
      </w:r>
    </w:p>
    <w:p w14:paraId="0EFEE2F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1.4.1</w:t>
      </w:r>
      <w:r>
        <w:rPr>
          <w:rFonts w:hint="eastAsia" w:ascii="宋体" w:hAnsi="宋体" w:eastAsia="宋体" w:cs="宋体"/>
          <w:color w:val="0D0D0D" w:themeColor="text1" w:themeTint="F2"/>
          <w:spacing w:val="2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原主要消防设施</w:t>
      </w:r>
      <w:r>
        <w:rPr>
          <w:rFonts w:hint="eastAsia" w:ascii="宋体" w:hAnsi="宋体" w:eastAsia="宋体" w:cs="宋体"/>
          <w:color w:val="FF0000"/>
          <w:sz w:val="24"/>
          <w:szCs w:val="24"/>
          <w:lang w:val="en-US" w:eastAsia="zh-CN"/>
        </w:rPr>
        <w:t>（据实填写）</w:t>
      </w:r>
    </w:p>
    <w:tbl>
      <w:tblPr>
        <w:tblStyle w:val="11"/>
        <w:tblW w:w="87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14"/>
        <w:gridCol w:w="2614"/>
        <w:gridCol w:w="2614"/>
      </w:tblGrid>
      <w:tr w14:paraId="7FE52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4" w:hRule="atLeast"/>
          <w:jc w:val="center"/>
        </w:trPr>
        <w:tc>
          <w:tcPr>
            <w:tcW w:w="2614" w:type="dxa"/>
            <w:tcBorders>
              <w:tl2br w:val="nil"/>
              <w:tr2bl w:val="nil"/>
            </w:tcBorders>
            <w:vAlign w:val="top"/>
          </w:tcPr>
          <w:p w14:paraId="167D142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w:t>
            </w:r>
            <w:r>
              <w:rPr>
                <w:rFonts w:ascii="宋体" w:hAnsi="宋体" w:eastAsia="宋体" w:cs="宋体"/>
                <w:color w:val="0D0D0D" w:themeColor="text1" w:themeTint="F2"/>
                <w:spacing w:val="-6"/>
                <w:sz w:val="24"/>
                <w:szCs w:val="24"/>
                <w14:textFill>
                  <w14:solidFill>
                    <w14:schemeClr w14:val="tx1">
                      <w14:lumMod w14:val="95000"/>
                      <w14:lumOff w14:val="5000"/>
                    </w14:schemeClr>
                  </w14:solidFill>
                </w14:textFill>
              </w:rPr>
              <w:t>消防控制室</w:t>
            </w:r>
          </w:p>
          <w:p w14:paraId="7D3B6EC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w:t>
            </w:r>
            <w:r>
              <w:rPr>
                <w:rFonts w:ascii="宋体" w:hAnsi="宋体" w:eastAsia="宋体" w:cs="宋体"/>
                <w:color w:val="0D0D0D" w:themeColor="text1" w:themeTint="F2"/>
                <w:spacing w:val="-7"/>
                <w:sz w:val="24"/>
                <w:szCs w:val="24"/>
                <w14:textFill>
                  <w14:solidFill>
                    <w14:schemeClr w14:val="tx1">
                      <w14:lumMod w14:val="95000"/>
                      <w14:lumOff w14:val="5000"/>
                    </w14:schemeClr>
                  </w14:solidFill>
                </w14:textFill>
              </w:rPr>
              <w:t>消防水箱</w:t>
            </w:r>
          </w:p>
          <w:p w14:paraId="48C41D8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w:t>
            </w:r>
            <w:r>
              <w:rPr>
                <w:rFonts w:ascii="宋体" w:hAnsi="宋体" w:eastAsia="宋体" w:cs="宋体"/>
                <w:color w:val="0D0D0D" w:themeColor="text1" w:themeTint="F2"/>
                <w:spacing w:val="-4"/>
                <w:sz w:val="24"/>
                <w:szCs w:val="24"/>
                <w14:textFill>
                  <w14:solidFill>
                    <w14:schemeClr w14:val="tx1">
                      <w14:lumMod w14:val="95000"/>
                      <w14:lumOff w14:val="5000"/>
                    </w14:schemeClr>
                  </w14:solidFill>
                </w14:textFill>
              </w:rPr>
              <w:t>火灾自动报警系统</w:t>
            </w:r>
          </w:p>
          <w:p w14:paraId="44C02EB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w:t>
            </w:r>
            <w:r>
              <w:rPr>
                <w:rFonts w:ascii="宋体" w:hAnsi="宋体" w:eastAsia="宋体" w:cs="宋体"/>
                <w:color w:val="0D0D0D" w:themeColor="text1" w:themeTint="F2"/>
                <w:spacing w:val="-5"/>
                <w:sz w:val="24"/>
                <w:szCs w:val="24"/>
                <w14:textFill>
                  <w14:solidFill>
                    <w14:schemeClr w14:val="tx1">
                      <w14:lumMod w14:val="95000"/>
                      <w14:lumOff w14:val="5000"/>
                    </w14:schemeClr>
                  </w14:solidFill>
                </w14:textFill>
              </w:rPr>
              <w:t>泡沫灭火系统</w:t>
            </w:r>
          </w:p>
          <w:p w14:paraId="3FB8CAF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w:t>
            </w:r>
            <w:r>
              <w:rPr>
                <w:rFonts w:ascii="宋体" w:hAnsi="宋体" w:eastAsia="宋体" w:cs="宋体"/>
                <w:color w:val="0D0D0D" w:themeColor="text1" w:themeTint="F2"/>
                <w:spacing w:val="-5"/>
                <w:sz w:val="24"/>
                <w:szCs w:val="24"/>
                <w14:textFill>
                  <w14:solidFill>
                    <w14:schemeClr w14:val="tx1">
                      <w14:lumMod w14:val="95000"/>
                      <w14:lumOff w14:val="5000"/>
                    </w14:schemeClr>
                  </w14:solidFill>
                </w14:textFill>
              </w:rPr>
              <w:t>消防应急照明</w:t>
            </w:r>
          </w:p>
          <w:p w14:paraId="5FF0144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w:t>
            </w:r>
            <w:r>
              <w:rPr>
                <w:rFonts w:ascii="宋体" w:hAnsi="宋体" w:eastAsia="宋体" w:cs="宋体"/>
                <w:color w:val="0D0D0D" w:themeColor="text1" w:themeTint="F2"/>
                <w:spacing w:val="-9"/>
                <w:sz w:val="24"/>
                <w:szCs w:val="24"/>
                <w14:textFill>
                  <w14:solidFill>
                    <w14:schemeClr w14:val="tx1">
                      <w14:lumMod w14:val="95000"/>
                      <w14:lumOff w14:val="5000"/>
                    </w14:schemeClr>
                  </w14:solidFill>
                </w14:textFill>
              </w:rPr>
              <w:t>灭火器</w:t>
            </w:r>
          </w:p>
        </w:tc>
        <w:tc>
          <w:tcPr>
            <w:tcW w:w="2614" w:type="dxa"/>
            <w:tcBorders>
              <w:tl2br w:val="nil"/>
              <w:tr2bl w:val="nil"/>
            </w:tcBorders>
            <w:vAlign w:val="top"/>
          </w:tcPr>
          <w:p w14:paraId="656D225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sz w:val="24"/>
                <w:szCs w:val="24"/>
                <w:vertAlign w:val="baseline"/>
              </w:rPr>
              <w:t>☑</w:t>
            </w: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消防水泵房</w:t>
            </w:r>
          </w:p>
          <w:p w14:paraId="1C4EA6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☑室内消火栓系统</w:t>
            </w:r>
          </w:p>
          <w:p w14:paraId="2527DA2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☑自动喷水灭火系统</w:t>
            </w:r>
          </w:p>
          <w:p w14:paraId="6BB8412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□其他灭火系统</w:t>
            </w:r>
          </w:p>
          <w:p w14:paraId="386A654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☑防烟排烟系统</w:t>
            </w:r>
          </w:p>
          <w:p w14:paraId="278B71F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color w:val="FF0000"/>
                <w:spacing w:val="-7"/>
                <w:sz w:val="24"/>
                <w:szCs w:val="24"/>
              </w:rPr>
              <w:t>□其他： ……</w:t>
            </w:r>
          </w:p>
        </w:tc>
        <w:tc>
          <w:tcPr>
            <w:tcW w:w="2614" w:type="dxa"/>
            <w:tcBorders>
              <w:tl2br w:val="nil"/>
              <w:tr2bl w:val="nil"/>
            </w:tcBorders>
            <w:vAlign w:val="top"/>
          </w:tcPr>
          <w:p w14:paraId="438BEF3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sz w:val="24"/>
                <w:szCs w:val="24"/>
                <w:vertAlign w:val="baseline"/>
              </w:rPr>
              <w:t>☑消防水池</w:t>
            </w:r>
          </w:p>
          <w:p w14:paraId="2F6C23B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sz w:val="24"/>
                <w:szCs w:val="24"/>
                <w:vertAlign w:val="baseline"/>
              </w:rPr>
              <w:t>☑室外消火栓系统</w:t>
            </w:r>
          </w:p>
          <w:p w14:paraId="6298934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sz w:val="24"/>
                <w:szCs w:val="24"/>
                <w:vertAlign w:val="baseline"/>
              </w:rPr>
              <w:t>□气体灭火系统</w:t>
            </w:r>
          </w:p>
          <w:p w14:paraId="404E66B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sz w:val="24"/>
                <w:szCs w:val="24"/>
                <w:vertAlign w:val="baseline"/>
              </w:rPr>
              <w:t>☑疏散指示标志</w:t>
            </w:r>
          </w:p>
          <w:p w14:paraId="095E910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sz w:val="24"/>
                <w:szCs w:val="24"/>
                <w:vertAlign w:val="baseline"/>
              </w:rPr>
            </w:pPr>
            <w:r>
              <w:rPr>
                <w:rFonts w:hint="eastAsia" w:ascii="宋体" w:hAnsi="宋体" w:eastAsia="宋体" w:cs="宋体"/>
                <w:sz w:val="24"/>
                <w:szCs w:val="24"/>
                <w:vertAlign w:val="baseline"/>
              </w:rPr>
              <w:t>□消防电梯</w:t>
            </w:r>
          </w:p>
        </w:tc>
      </w:tr>
    </w:tbl>
    <w:p w14:paraId="61FB554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1.4.2</w:t>
      </w:r>
      <w:r>
        <w:rPr>
          <w:rFonts w:hint="eastAsia" w:ascii="宋体" w:hAnsi="宋体" w:eastAsia="宋体" w:cs="宋体"/>
          <w:color w:val="0D0D0D" w:themeColor="text1" w:themeTint="F2"/>
          <w:spacing w:val="2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改造或增设的主要消防设施</w:t>
      </w:r>
      <w:r>
        <w:rPr>
          <w:rFonts w:hint="eastAsia" w:ascii="宋体" w:hAnsi="宋体" w:eastAsia="宋体" w:cs="宋体"/>
          <w:color w:val="FF0000"/>
          <w:sz w:val="24"/>
          <w:szCs w:val="24"/>
          <w:lang w:val="en-US" w:eastAsia="zh-CN"/>
        </w:rPr>
        <w:t>（据实填写）</w:t>
      </w:r>
    </w:p>
    <w:tbl>
      <w:tblPr>
        <w:tblStyle w:val="11"/>
        <w:tblW w:w="87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14"/>
        <w:gridCol w:w="2614"/>
        <w:gridCol w:w="2614"/>
      </w:tblGrid>
      <w:tr w14:paraId="608F0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9" w:hRule="atLeast"/>
          <w:jc w:val="center"/>
        </w:trPr>
        <w:tc>
          <w:tcPr>
            <w:tcW w:w="2614" w:type="dxa"/>
            <w:tcBorders>
              <w:tl2br w:val="nil"/>
              <w:tr2bl w:val="nil"/>
            </w:tcBorders>
            <w:vAlign w:val="top"/>
          </w:tcPr>
          <w:p w14:paraId="4F77A6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☑消防控制室</w:t>
            </w:r>
          </w:p>
          <w:p w14:paraId="128DA2C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☑消防水箱</w:t>
            </w:r>
          </w:p>
          <w:p w14:paraId="6D056C8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■火灾自动报警系统</w:t>
            </w:r>
          </w:p>
          <w:p w14:paraId="5B3202F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□泡沫灭火系统</w:t>
            </w:r>
          </w:p>
          <w:p w14:paraId="576646C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■消防应急照明</w:t>
            </w:r>
          </w:p>
          <w:p w14:paraId="31561B4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■灭火器</w:t>
            </w:r>
          </w:p>
        </w:tc>
        <w:tc>
          <w:tcPr>
            <w:tcW w:w="2614" w:type="dxa"/>
            <w:tcBorders>
              <w:tl2br w:val="nil"/>
              <w:tr2bl w:val="nil"/>
            </w:tcBorders>
            <w:vAlign w:val="top"/>
          </w:tcPr>
          <w:p w14:paraId="38D6915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消防水泵房</w:t>
            </w:r>
          </w:p>
          <w:p w14:paraId="48D037B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■室内消火栓系统</w:t>
            </w:r>
          </w:p>
          <w:p w14:paraId="7D1736F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■自动喷水灭火系统</w:t>
            </w:r>
          </w:p>
          <w:p w14:paraId="3833FCF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□其他灭火系统</w:t>
            </w:r>
          </w:p>
          <w:p w14:paraId="5A2955A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■防烟排烟系统</w:t>
            </w:r>
          </w:p>
          <w:p w14:paraId="3D9ABC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FF0000"/>
                <w:spacing w:val="-7"/>
                <w:sz w:val="24"/>
                <w:szCs w:val="24"/>
              </w:rPr>
              <w:t>□其他： ……</w:t>
            </w:r>
          </w:p>
        </w:tc>
        <w:tc>
          <w:tcPr>
            <w:tcW w:w="2614" w:type="dxa"/>
            <w:tcBorders>
              <w:tl2br w:val="nil"/>
              <w:tr2bl w:val="nil"/>
            </w:tcBorders>
            <w:vAlign w:val="top"/>
          </w:tcPr>
          <w:p w14:paraId="7ED102D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☑消防水池</w:t>
            </w:r>
          </w:p>
          <w:p w14:paraId="065D4AB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☑室外消火栓系统</w:t>
            </w:r>
          </w:p>
          <w:p w14:paraId="2D8AA22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□气体灭火系统</w:t>
            </w:r>
          </w:p>
          <w:p w14:paraId="7FACDDB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■疏散指示标志</w:t>
            </w:r>
          </w:p>
          <w:p w14:paraId="2D24920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□消防电梯</w:t>
            </w:r>
          </w:p>
        </w:tc>
      </w:tr>
    </w:tbl>
    <w:p w14:paraId="42BCA73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（原消防设施可以“</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sym w:font="Wingdings 2" w:char="0052"/>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”表示，改造或增设的消防设施可以“■”表示）</w:t>
      </w:r>
    </w:p>
    <w:p w14:paraId="4768832F">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pPr>
    </w:p>
    <w:p w14:paraId="5A67D25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1.5</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法规执行情况</w:t>
      </w:r>
    </w:p>
    <w:p w14:paraId="5BFCC93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1.5.1</w:t>
      </w:r>
      <w:r>
        <w:rPr>
          <w:rFonts w:hint="eastAsia" w:ascii="宋体" w:hAnsi="宋体" w:eastAsia="宋体" w:cs="宋体"/>
          <w:color w:val="0D0D0D" w:themeColor="text1" w:themeTint="F2"/>
          <w:spacing w:val="4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本工程消防设计严格执行国家工程建设消防技术标准强制性条文。</w:t>
      </w:r>
    </w:p>
    <w:p w14:paraId="0BBF2D2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1.5.2</w:t>
      </w:r>
      <w:r>
        <w:rPr>
          <w:rFonts w:hint="eastAsia" w:ascii="宋体" w:hAnsi="宋体" w:eastAsia="宋体" w:cs="宋体"/>
          <w:color w:val="0D0D0D" w:themeColor="text1" w:themeTint="F2"/>
          <w:spacing w:val="4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本工程消防设计严格执行国家工程建设消防技术标准中带有“严禁”、</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“必须”、</w:t>
      </w:r>
      <w:r>
        <w:rPr>
          <w:rFonts w:hint="eastAsia" w:ascii="宋体" w:hAnsi="宋体" w:eastAsia="宋体" w:cs="宋体"/>
          <w:color w:val="0D0D0D" w:themeColor="text1" w:themeTint="F2"/>
          <w:spacing w:val="-1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“应”、</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“不应”、</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“不得”等要求的非强制性条文。</w:t>
      </w:r>
    </w:p>
    <w:p w14:paraId="7DBAFF8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sectPr>
          <w:footerReference r:id="rId6" w:type="default"/>
          <w:pgSz w:w="11906" w:h="16839"/>
          <w:pgMar w:top="1431" w:right="1301" w:bottom="1152" w:left="1785" w:header="0" w:footer="1033"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1.5.3</w:t>
      </w:r>
      <w:r>
        <w:rPr>
          <w:rFonts w:hint="eastAsia" w:ascii="宋体" w:hAnsi="宋体" w:eastAsia="宋体" w:cs="宋体"/>
          <w:color w:val="0D0D0D" w:themeColor="text1" w:themeTint="F2"/>
          <w:spacing w:val="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本工程消防设计</w:t>
      </w:r>
      <w:r>
        <w:rPr>
          <w:rFonts w:hint="eastAsia" w:ascii="宋体" w:hAnsi="宋体" w:eastAsia="宋体" w:cs="宋体"/>
          <w:color w:val="0D0D0D" w:themeColor="text1" w:themeTint="F2"/>
          <w:spacing w:val="3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□有</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☑无</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特殊消防设计。</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（当存在特殊消防设计时，</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应明确采用特殊消防设计的原因、依据以及主要设计内容</w:t>
      </w:r>
      <w:r>
        <w:rPr>
          <w:rFonts w:hint="eastAsia" w:ascii="宋体" w:hAnsi="宋体" w:eastAsia="宋体" w:cs="宋体"/>
          <w:color w:val="0D0D0D" w:themeColor="text1" w:themeTint="F2"/>
          <w:spacing w:val="-1"/>
          <w:sz w:val="24"/>
          <w:szCs w:val="24"/>
          <w:lang w:eastAsia="zh-CN"/>
          <w14:textFill>
            <w14:solidFill>
              <w14:schemeClr w14:val="tx1">
                <w14:lumMod w14:val="95000"/>
                <w14:lumOff w14:val="5000"/>
              </w14:schemeClr>
            </w14:solidFill>
          </w14:textFill>
        </w:rPr>
        <w:t>）</w:t>
      </w:r>
    </w:p>
    <w:p w14:paraId="63210ECD">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2 建筑专业</w:t>
      </w:r>
    </w:p>
    <w:p w14:paraId="0641A99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2013B48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2.1</w:t>
      </w:r>
      <w:r>
        <w:rPr>
          <w:rFonts w:hint="eastAsia" w:ascii="宋体" w:hAnsi="宋体" w:eastAsia="宋体" w:cs="宋体"/>
          <w:color w:val="0D0D0D" w:themeColor="text1" w:themeTint="F2"/>
          <w:spacing w:val="2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改造</w:t>
      </w:r>
      <w:r>
        <w:rPr>
          <w:rFonts w:hint="eastAsia" w:ascii="宋体" w:hAnsi="宋体" w:eastAsia="宋体" w:cs="宋体"/>
          <w:color w:val="0D0D0D" w:themeColor="text1" w:themeTint="F2"/>
          <w:spacing w:val="-5"/>
          <w:sz w:val="24"/>
          <w:szCs w:val="24"/>
          <w:lang w:val="en-US" w:eastAsia="zh-CN"/>
          <w14:textFill>
            <w14:solidFill>
              <w14:schemeClr w14:val="tx1">
                <w14:lumMod w14:val="95000"/>
                <w14:lumOff w14:val="5000"/>
              </w14:schemeClr>
            </w14:solidFill>
          </w14:textFill>
        </w:rPr>
        <w:t>范围和</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内容</w:t>
      </w:r>
    </w:p>
    <w:p w14:paraId="4696E52C">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sz w:val="24"/>
          <w:szCs w:val="24"/>
          <w:u w:val="single"/>
          <w:lang w:val="en-US" w:eastAsia="zh-CN"/>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本次改造范围为：</w:t>
      </w:r>
      <w:r>
        <w:rPr>
          <w:rFonts w:hint="eastAsia" w:ascii="宋体" w:hAnsi="宋体" w:eastAsia="宋体" w:cs="宋体"/>
          <w:color w:val="FF0000"/>
          <w:spacing w:val="-6"/>
          <w:sz w:val="24"/>
          <w:szCs w:val="24"/>
          <w:u w:val="single"/>
        </w:rPr>
        <w:t xml:space="preserve"> 时代广场购物商城</w:t>
      </w:r>
      <w:r>
        <w:rPr>
          <w:rFonts w:hint="eastAsia" w:ascii="宋体" w:hAnsi="宋体" w:eastAsia="宋体" w:cs="宋体"/>
          <w:color w:val="FF0000"/>
          <w:sz w:val="24"/>
          <w:szCs w:val="24"/>
          <w:u w:val="single"/>
        </w:rPr>
        <w:t>局部第四层，位于(3)轴~（7）轴交（L）轴~（P）轴处</w:t>
      </w:r>
      <w:r>
        <w:rPr>
          <w:rFonts w:hint="eastAsia" w:ascii="宋体" w:hAnsi="宋体" w:eastAsia="宋体" w:cs="宋体"/>
          <w:color w:val="FF0000"/>
          <w:sz w:val="24"/>
          <w:szCs w:val="24"/>
          <w:u w:val="single"/>
          <w:lang w:val="en-US" w:eastAsia="zh-CN"/>
        </w:rPr>
        <w:t>。</w:t>
      </w:r>
    </w:p>
    <w:p w14:paraId="50E73C7A">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sz w:val="24"/>
          <w:szCs w:val="24"/>
          <w:u w:val="single"/>
          <w:lang w:val="en-US" w:eastAsia="zh-CN"/>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本次改造</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面积</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pacing w:val="-6"/>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FF0000"/>
          <w:sz w:val="24"/>
          <w:szCs w:val="24"/>
          <w:u w:val="single"/>
          <w:lang w:val="en-US" w:eastAsia="zh-CN"/>
        </w:rPr>
        <w:t>745平方米，745/99436（不含停车库）=0.0075＜1/3</w:t>
      </w:r>
      <w:r>
        <w:rPr>
          <w:rFonts w:hint="eastAsia" w:ascii="宋体" w:hAnsi="宋体" w:eastAsia="宋体" w:cs="宋体"/>
          <w:color w:val="0D0D0D" w:themeColor="text1" w:themeTint="F2"/>
          <w:spacing w:val="-6"/>
          <w:sz w:val="24"/>
          <w:szCs w:val="24"/>
          <w:u w:val="none"/>
          <w:lang w:eastAsia="zh-CN"/>
          <w14:textFill>
            <w14:solidFill>
              <w14:schemeClr w14:val="tx1">
                <w14:lumMod w14:val="95000"/>
                <w14:lumOff w14:val="5000"/>
              </w14:schemeClr>
            </w14:solidFill>
          </w14:textFill>
        </w:rPr>
        <w:t>。</w:t>
      </w:r>
    </w:p>
    <w:p w14:paraId="37DEB897">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FF0000"/>
          <w:spacing w:val="-6"/>
          <w:sz w:val="24"/>
          <w:szCs w:val="24"/>
          <w:u w:val="none"/>
          <w:lang w:val="en-US" w:eastAsia="zh-CN"/>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本工程为</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FF0000"/>
          <w:spacing w:val="-6"/>
          <w:sz w:val="24"/>
          <w:szCs w:val="24"/>
          <w:u w:val="single"/>
        </w:rPr>
        <w:t xml:space="preserve"> 商业用房  </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改造前使用功能为商业</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餐饮</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本次改造</w:t>
      </w:r>
      <w:r>
        <w:rPr>
          <w:rFonts w:hint="eastAsia" w:ascii="宋体" w:hAnsi="宋体" w:eastAsia="宋体" w:cs="宋体"/>
          <w:color w:val="FF0000"/>
          <w:spacing w:val="-6"/>
          <w:sz w:val="24"/>
          <w:szCs w:val="24"/>
          <w:u w:val="single"/>
          <w:lang w:val="en-US" w:eastAsia="zh-CN"/>
        </w:rPr>
        <w:t>后功能</w:t>
      </w:r>
      <w:r>
        <w:rPr>
          <w:rFonts w:hint="eastAsia" w:ascii="宋体" w:hAnsi="宋体" w:eastAsia="宋体" w:cs="宋体"/>
          <w:color w:val="FF0000"/>
          <w:spacing w:val="-6"/>
          <w:sz w:val="24"/>
          <w:szCs w:val="24"/>
          <w:u w:val="single"/>
        </w:rPr>
        <w:t>为</w:t>
      </w:r>
      <w:r>
        <w:rPr>
          <w:rFonts w:hint="eastAsia" w:ascii="宋体" w:hAnsi="宋体" w:eastAsia="宋体" w:cs="宋体"/>
          <w:color w:val="FF0000"/>
          <w:spacing w:val="-6"/>
          <w:sz w:val="24"/>
          <w:szCs w:val="24"/>
          <w:u w:val="single"/>
          <w:lang w:val="en-US" w:eastAsia="zh-CN"/>
        </w:rPr>
        <w:t>商业</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rPr>
        <w:t>KTV</w:t>
      </w:r>
      <w:r>
        <w:rPr>
          <w:rFonts w:hint="eastAsia" w:ascii="宋体" w:hAnsi="宋体" w:eastAsia="宋体" w:cs="宋体"/>
          <w:color w:val="FF0000"/>
          <w:spacing w:val="-6"/>
          <w:sz w:val="24"/>
          <w:szCs w:val="24"/>
          <w:u w:val="single"/>
          <w:lang w:eastAsia="zh-CN"/>
        </w:rPr>
        <w:t>）；</w:t>
      </w:r>
      <w:r>
        <w:rPr>
          <w:rFonts w:hint="eastAsia" w:ascii="宋体" w:hAnsi="宋体" w:eastAsia="宋体" w:cs="宋体"/>
          <w:color w:val="FF0000"/>
          <w:spacing w:val="-6"/>
          <w:sz w:val="24"/>
          <w:szCs w:val="24"/>
          <w:u w:val="single"/>
          <w:lang w:val="en-US" w:eastAsia="zh-CN"/>
        </w:rPr>
        <w:t>改造区域所在</w:t>
      </w:r>
      <w:r>
        <w:rPr>
          <w:rFonts w:hint="eastAsia" w:ascii="宋体" w:hAnsi="宋体" w:eastAsia="宋体" w:cs="宋体"/>
          <w:color w:val="FF0000"/>
          <w:spacing w:val="7"/>
          <w:sz w:val="24"/>
          <w:szCs w:val="24"/>
          <w:u w:val="single"/>
          <w:lang w:val="en-US" w:eastAsia="zh-CN"/>
        </w:rPr>
        <w:t>防火分区改造前建筑面积为3549平方米，改造后防火分区面积依然为3549平方米</w:t>
      </w:r>
      <w:r>
        <w:rPr>
          <w:rFonts w:hint="eastAsia" w:ascii="宋体" w:hAnsi="宋体" w:eastAsia="宋体" w:cs="宋体"/>
          <w:color w:val="FF0000"/>
          <w:spacing w:val="7"/>
          <w:sz w:val="24"/>
          <w:szCs w:val="24"/>
          <w:lang w:val="en-US" w:eastAsia="zh-CN"/>
        </w:rPr>
        <w:t>。</w:t>
      </w:r>
      <w:r>
        <w:rPr>
          <w:rFonts w:hint="eastAsia" w:ascii="宋体" w:hAnsi="宋体" w:eastAsia="宋体" w:cs="宋体"/>
          <w:color w:val="FF0000"/>
          <w:spacing w:val="-6"/>
          <w:sz w:val="24"/>
          <w:szCs w:val="24"/>
        </w:rPr>
        <w:t>本次改造</w:t>
      </w:r>
      <w:r>
        <w:rPr>
          <w:rFonts w:hint="eastAsia" w:ascii="宋体" w:hAnsi="宋体" w:eastAsia="宋体" w:cs="宋体"/>
          <w:color w:val="FF0000"/>
          <w:spacing w:val="-2"/>
          <w:sz w:val="24"/>
          <w:szCs w:val="24"/>
          <w:lang w:val="en-US" w:eastAsia="zh-CN"/>
        </w:rPr>
        <w:t>属于</w:t>
      </w:r>
      <w:r>
        <w:rPr>
          <w:rFonts w:hint="eastAsia" w:ascii="宋体" w:hAnsi="宋体" w:eastAsia="宋体" w:cs="宋体"/>
          <w:b/>
          <w:bCs/>
          <w:color w:val="FF0000"/>
          <w:spacing w:val="-2"/>
          <w:sz w:val="24"/>
          <w:szCs w:val="24"/>
          <w:u w:val="single"/>
          <w:lang w:val="en-US" w:eastAsia="zh-CN"/>
        </w:rPr>
        <w:t>功能和防火分区均未发生改变的建筑局部更新改造</w:t>
      </w:r>
      <w:r>
        <w:rPr>
          <w:rFonts w:hint="eastAsia" w:ascii="宋体" w:hAnsi="宋体" w:eastAsia="宋体" w:cs="宋体"/>
          <w:color w:val="FF0000"/>
          <w:spacing w:val="-6"/>
          <w:sz w:val="24"/>
          <w:szCs w:val="24"/>
          <w:u w:val="none"/>
          <w:lang w:eastAsia="zh-CN"/>
        </w:rPr>
        <w:t>。</w:t>
      </w:r>
    </w:p>
    <w:p w14:paraId="17E48F23">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72F5589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2.2</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总平面消防设计</w:t>
      </w:r>
    </w:p>
    <w:p w14:paraId="75926F9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2.2.1</w:t>
      </w:r>
      <w:r>
        <w:rPr>
          <w:rFonts w:hint="eastAsia" w:ascii="宋体" w:hAnsi="宋体" w:eastAsia="宋体" w:cs="宋体"/>
          <w:color w:val="0D0D0D" w:themeColor="text1" w:themeTint="F2"/>
          <w:spacing w:val="3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防火间距</w:t>
      </w:r>
    </w:p>
    <w:p w14:paraId="49553548">
      <w:pPr>
        <w:keepNext w:val="0"/>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FF0000"/>
          <w:sz w:val="24"/>
          <w:szCs w:val="24"/>
        </w:rPr>
      </w:pPr>
      <w:r>
        <w:rPr>
          <w:rFonts w:hint="eastAsia" w:ascii="宋体" w:hAnsi="宋体" w:eastAsia="宋体" w:cs="宋体"/>
          <w:b/>
          <w:bCs/>
          <w:color w:val="FF0000"/>
          <w:spacing w:val="-5"/>
          <w:sz w:val="24"/>
          <w:szCs w:val="24"/>
          <w:lang w:val="en-US" w:eastAsia="zh-CN"/>
        </w:rPr>
        <w:t>经复核符合原标准，按照苏住建消【2023】4号文第4.2.1条，本次改造无需调整。</w:t>
      </w:r>
    </w:p>
    <w:p w14:paraId="64E9F87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2.2.2</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消防车道</w:t>
      </w:r>
    </w:p>
    <w:p w14:paraId="15595238">
      <w:pPr>
        <w:keepNext w:val="0"/>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FF0000"/>
          <w:spacing w:val="-2"/>
          <w:sz w:val="24"/>
          <w:szCs w:val="24"/>
        </w:rPr>
      </w:pPr>
      <w:r>
        <w:rPr>
          <w:rFonts w:hint="eastAsia" w:ascii="宋体" w:hAnsi="宋体" w:eastAsia="宋体" w:cs="宋体"/>
          <w:b/>
          <w:bCs/>
          <w:color w:val="FF0000"/>
          <w:spacing w:val="-5"/>
          <w:sz w:val="24"/>
          <w:szCs w:val="24"/>
          <w:lang w:val="en-US" w:eastAsia="zh-CN"/>
        </w:rPr>
        <w:t>经复核符合原标准，按照苏住建消【2023】4号文第4.2.1条，本次改造无需调整。</w:t>
      </w:r>
    </w:p>
    <w:p w14:paraId="47897D0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2.2.3</w:t>
      </w:r>
      <w:r>
        <w:rPr>
          <w:rFonts w:hint="eastAsia" w:ascii="宋体" w:hAnsi="宋体" w:eastAsia="宋体" w:cs="宋体"/>
          <w:color w:val="0D0D0D" w:themeColor="text1" w:themeTint="F2"/>
          <w:spacing w:val="1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消防</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救援</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场地</w:t>
      </w:r>
    </w:p>
    <w:p w14:paraId="7B7F6BB1">
      <w:pPr>
        <w:keepNext w:val="0"/>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FF0000"/>
          <w:spacing w:val="-2"/>
          <w:sz w:val="24"/>
          <w:szCs w:val="24"/>
        </w:rPr>
      </w:pPr>
      <w:r>
        <w:rPr>
          <w:rFonts w:hint="eastAsia" w:ascii="宋体" w:hAnsi="宋体" w:eastAsia="宋体" w:cs="宋体"/>
          <w:b/>
          <w:bCs/>
          <w:color w:val="FF0000"/>
          <w:spacing w:val="-5"/>
          <w:sz w:val="24"/>
          <w:szCs w:val="24"/>
          <w:lang w:val="en-US" w:eastAsia="zh-CN"/>
        </w:rPr>
        <w:t>经复核符合原标准，按照苏住建消【2023】4号文第4.2.1条，本次改造无需调整。</w:t>
      </w:r>
    </w:p>
    <w:p w14:paraId="01595D0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p>
    <w:p w14:paraId="41940D8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3</w:t>
      </w:r>
      <w:r>
        <w:rPr>
          <w:rFonts w:hint="eastAsia" w:ascii="宋体" w:hAnsi="宋体" w:eastAsia="宋体" w:cs="宋体"/>
          <w:color w:val="0D0D0D" w:themeColor="text1" w:themeTint="F2"/>
          <w:spacing w:val="1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防火分区</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和</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平面布置</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r>
        <w:rPr>
          <w:rFonts w:hint="eastAsia" w:ascii="宋体" w:hAnsi="宋体" w:eastAsia="宋体" w:cs="宋体"/>
          <w:b/>
          <w:bCs/>
          <w:color w:val="0D0D0D" w:themeColor="text1" w:themeTint="F2"/>
          <w:spacing w:val="-5"/>
          <w:sz w:val="24"/>
          <w:szCs w:val="24"/>
          <w:lang w:val="en-US" w:eastAsia="zh-CN"/>
          <w14:textFill>
            <w14:solidFill>
              <w14:schemeClr w14:val="tx1">
                <w14:lumMod w14:val="95000"/>
                <w14:lumOff w14:val="5000"/>
              </w14:schemeClr>
            </w14:solidFill>
          </w14:textFill>
        </w:rPr>
        <w:t>按照苏住建消【2023】4号文第4.4.1条，</w:t>
      </w:r>
      <w:r>
        <w:rPr>
          <w:rFonts w:hint="eastAsia" w:ascii="宋体" w:hAnsi="宋体" w:eastAsia="宋体" w:cs="宋体"/>
          <w:b/>
          <w:bCs/>
          <w:color w:val="0D0D0D" w:themeColor="text1" w:themeTint="F2"/>
          <w:spacing w:val="-2"/>
          <w:sz w:val="24"/>
          <w:szCs w:val="24"/>
          <w:lang w:val="en-US" w:eastAsia="zh-CN"/>
          <w14:textFill>
            <w14:solidFill>
              <w14:schemeClr w14:val="tx1">
                <w14:lumMod w14:val="95000"/>
                <w14:lumOff w14:val="5000"/>
              </w14:schemeClr>
            </w14:solidFill>
          </w14:textFill>
        </w:rPr>
        <w:t>按现行标准执行</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p>
    <w:p w14:paraId="67D71EB3">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FF0000"/>
          <w:sz w:val="24"/>
          <w:szCs w:val="24"/>
          <w:lang w:val="en-US" w:eastAsia="zh-CN"/>
        </w:rPr>
      </w:pPr>
      <w:r>
        <w:rPr>
          <w:rFonts w:hint="eastAsia" w:ascii="宋体" w:hAnsi="宋体" w:eastAsia="宋体" w:cs="宋体"/>
          <w:color w:val="FF0000"/>
          <w:spacing w:val="-6"/>
          <w:sz w:val="24"/>
          <w:szCs w:val="24"/>
        </w:rPr>
        <w:t>本</w:t>
      </w:r>
      <w:r>
        <w:rPr>
          <w:rFonts w:hint="eastAsia" w:ascii="宋体" w:hAnsi="宋体" w:eastAsia="宋体" w:cs="宋体"/>
          <w:color w:val="FF0000"/>
          <w:spacing w:val="-6"/>
          <w:sz w:val="24"/>
          <w:szCs w:val="24"/>
          <w:lang w:val="en-US" w:eastAsia="zh-CN"/>
        </w:rPr>
        <w:t>次改造区域的</w:t>
      </w:r>
      <w:r>
        <w:rPr>
          <w:rFonts w:hint="eastAsia" w:ascii="宋体" w:hAnsi="宋体" w:eastAsia="宋体" w:cs="宋体"/>
          <w:color w:val="FF0000"/>
          <w:spacing w:val="7"/>
          <w:sz w:val="24"/>
          <w:szCs w:val="24"/>
          <w:lang w:val="en-US" w:eastAsia="zh-CN"/>
        </w:rPr>
        <w:t>防火分区面积为3549平方米＜5000平方米（设置有喷淋），该防火分区与相邻防火分区（中庭）通过防火墙和防火卷帘分隔，KTV房间内部及与其他区域用耐火极限2小时防火隔墙和乙级防火门分隔，最大的房间面积为43.4＜200平方米。</w:t>
      </w:r>
      <w:r>
        <w:rPr>
          <w:rFonts w:hint="eastAsia" w:ascii="宋体" w:hAnsi="宋体" w:eastAsia="宋体" w:cs="宋体"/>
          <w:color w:val="FF0000"/>
          <w:sz w:val="24"/>
          <w:szCs w:val="24"/>
          <w:lang w:val="en-US" w:eastAsia="zh-CN"/>
        </w:rPr>
        <w:t>（填写面积、标准、防火分隔、根据建筑功能填写消防相关信息）</w:t>
      </w:r>
    </w:p>
    <w:p w14:paraId="53663475">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p>
    <w:p w14:paraId="42C19723">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 地下室</w:t>
      </w:r>
    </w:p>
    <w:p w14:paraId="0FAA657F">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FF0000"/>
          <w:spacing w:val="-6"/>
          <w:sz w:val="24"/>
          <w:szCs w:val="24"/>
          <w:lang w:val="en-US" w:eastAsia="zh-CN"/>
        </w:rPr>
        <w:t>本次改造不涉及地下室。</w:t>
      </w:r>
    </w:p>
    <w:p w14:paraId="2ECAD46D">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17047BF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2.5</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安全疏散和避难</w:t>
      </w:r>
    </w:p>
    <w:p w14:paraId="2B1BC730">
      <w:pPr>
        <w:keepNext w:val="0"/>
        <w:pageBreakBefore w:val="0"/>
        <w:wordWrap/>
        <w:topLinePunct w:val="0"/>
        <w:bidi w:val="0"/>
        <w:spacing w:line="288" w:lineRule="auto"/>
        <w:ind w:left="0" w:leftChars="0" w:right="0" w:rightChars="0" w:firstLine="468" w:firstLineChars="200"/>
        <w:jc w:val="left"/>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改造区域</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r>
        <w:rPr>
          <w:rFonts w:hint="eastAsia" w:ascii="宋体" w:hAnsi="宋体" w:eastAsia="宋体" w:cs="宋体"/>
          <w:b/>
          <w:bCs/>
          <w:color w:val="0D0D0D" w:themeColor="text1" w:themeTint="F2"/>
          <w:spacing w:val="-5"/>
          <w:sz w:val="24"/>
          <w:szCs w:val="24"/>
          <w:lang w:val="en-US" w:eastAsia="zh-CN"/>
          <w14:textFill>
            <w14:solidFill>
              <w14:schemeClr w14:val="tx1">
                <w14:lumMod w14:val="95000"/>
                <w14:lumOff w14:val="5000"/>
              </w14:schemeClr>
            </w14:solidFill>
          </w14:textFill>
        </w:rPr>
        <w:t>按照苏住建消【2023】4号文第4.5.1条，</w:t>
      </w:r>
      <w:r>
        <w:rPr>
          <w:rFonts w:hint="eastAsia" w:ascii="宋体" w:hAnsi="宋体" w:eastAsia="宋体" w:cs="宋体"/>
          <w:b/>
          <w:bCs/>
          <w:color w:val="0D0D0D" w:themeColor="text1" w:themeTint="F2"/>
          <w:spacing w:val="-2"/>
          <w:sz w:val="24"/>
          <w:szCs w:val="24"/>
          <w:lang w:val="en-US" w:eastAsia="zh-CN"/>
          <w14:textFill>
            <w14:solidFill>
              <w14:schemeClr w14:val="tx1">
                <w14:lumMod w14:val="95000"/>
                <w14:lumOff w14:val="5000"/>
              </w14:schemeClr>
            </w14:solidFill>
          </w14:textFill>
        </w:rPr>
        <w:t>按现行标准执行</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p>
    <w:p w14:paraId="56CE9B9D">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安全出口：</w:t>
      </w:r>
      <w:r>
        <w:rPr>
          <w:rFonts w:hint="eastAsia" w:ascii="宋体" w:hAnsi="宋体" w:eastAsia="宋体" w:cs="宋体"/>
          <w:color w:val="FF0000"/>
          <w:spacing w:val="-6"/>
          <w:sz w:val="24"/>
          <w:szCs w:val="24"/>
          <w:lang w:val="en-US" w:eastAsia="zh-CN"/>
        </w:rPr>
        <w:t>改造区域的防火分区有6个安全出口（防烟楼梯间）在底层能直通室外或通过门厅直通室外。</w:t>
      </w:r>
      <w:r>
        <w:rPr>
          <w:rFonts w:hint="eastAsia" w:ascii="宋体" w:hAnsi="宋体" w:eastAsia="宋体" w:cs="宋体"/>
          <w:color w:val="FF0000"/>
          <w:sz w:val="24"/>
          <w:szCs w:val="24"/>
          <w:lang w:val="en-US" w:eastAsia="zh-CN"/>
        </w:rPr>
        <w:t>（填写安全出口数量及类型并到地面层情况）</w:t>
      </w:r>
    </w:p>
    <w:p w14:paraId="1B909C85">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0D0D0D" w:themeColor="text1" w:themeTint="F2"/>
          <w:spacing w:val="-6"/>
          <w:sz w:val="24"/>
          <w:szCs w:val="24"/>
          <w:lang w:val="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疏散距离：</w:t>
      </w:r>
      <w:r>
        <w:rPr>
          <w:rFonts w:hint="eastAsia" w:ascii="宋体" w:hAnsi="宋体" w:eastAsia="宋体" w:cs="宋体"/>
          <w:color w:val="FF0000"/>
          <w:spacing w:val="-6"/>
          <w:sz w:val="24"/>
          <w:szCs w:val="24"/>
          <w:lang w:val="en-US" w:eastAsia="zh-CN"/>
        </w:rPr>
        <w:t>大于30平方的KTV包厢设有2个疏散门，门间距大于5</w:t>
      </w:r>
      <w:r>
        <w:rPr>
          <w:rFonts w:hint="eastAsia" w:ascii="宋体" w:hAnsi="宋体" w:eastAsia="宋体" w:cs="宋体"/>
          <w:color w:val="FF0000"/>
          <w:spacing w:val="-6"/>
          <w:sz w:val="24"/>
          <w:szCs w:val="24"/>
          <w:lang w:val="zh-CN"/>
        </w:rPr>
        <w:t>m</w:t>
      </w:r>
      <w:r>
        <w:rPr>
          <w:rFonts w:hint="eastAsia" w:ascii="宋体" w:hAnsi="宋体" w:eastAsia="宋体" w:cs="宋体"/>
          <w:color w:val="FF0000"/>
          <w:spacing w:val="-6"/>
          <w:sz w:val="24"/>
          <w:szCs w:val="24"/>
          <w:lang w:val="en-US" w:eastAsia="zh-CN"/>
        </w:rPr>
        <w:t>，房间内任一点到房间疏散门距离均＜</w:t>
      </w:r>
      <w:r>
        <w:rPr>
          <w:rFonts w:hint="eastAsia" w:ascii="宋体" w:hAnsi="宋体" w:eastAsia="宋体" w:cs="宋体"/>
          <w:color w:val="FF0000"/>
          <w:spacing w:val="-6"/>
          <w:sz w:val="24"/>
          <w:szCs w:val="24"/>
          <w:lang w:val="zh-CN"/>
        </w:rPr>
        <w:t>9x1.25=11.25m</w:t>
      </w:r>
      <w:r>
        <w:rPr>
          <w:rFonts w:hint="eastAsia" w:ascii="宋体" w:hAnsi="宋体" w:eastAsia="宋体" w:cs="宋体"/>
          <w:color w:val="FF0000"/>
          <w:spacing w:val="-6"/>
          <w:sz w:val="24"/>
          <w:szCs w:val="24"/>
          <w:lang w:val="en-US" w:eastAsia="zh-CN"/>
        </w:rPr>
        <w:t>；</w:t>
      </w:r>
      <w:r>
        <w:rPr>
          <w:rFonts w:hint="eastAsia" w:ascii="宋体" w:hAnsi="宋体" w:eastAsia="宋体" w:cs="宋体"/>
          <w:color w:val="FF0000"/>
          <w:spacing w:val="-6"/>
          <w:sz w:val="24"/>
          <w:szCs w:val="24"/>
          <w:lang w:val="zh-CN"/>
        </w:rPr>
        <w:t>位于</w:t>
      </w:r>
      <w:r>
        <w:rPr>
          <w:rFonts w:hint="eastAsia" w:ascii="宋体" w:hAnsi="宋体" w:eastAsia="宋体" w:cs="宋体"/>
          <w:color w:val="FF0000"/>
          <w:spacing w:val="-6"/>
          <w:sz w:val="24"/>
          <w:szCs w:val="24"/>
          <w:lang w:val="en-US" w:eastAsia="zh-CN"/>
        </w:rPr>
        <w:t>两</w:t>
      </w:r>
      <w:r>
        <w:rPr>
          <w:rFonts w:hint="eastAsia" w:ascii="宋体" w:hAnsi="宋体" w:eastAsia="宋体" w:cs="宋体"/>
          <w:color w:val="FF0000"/>
          <w:spacing w:val="-6"/>
          <w:sz w:val="24"/>
          <w:szCs w:val="24"/>
          <w:lang w:val="zh-CN"/>
        </w:rPr>
        <w:t>个安全出口之间的疏散门到最近的安全出口的直线距离均小于25x1.25=31.25m；位于袋形走道两侧或尽端的疏散门至最近安全出口的直线距离均小于9x1.25=11.25m。</w:t>
      </w:r>
      <w:r>
        <w:rPr>
          <w:rFonts w:hint="eastAsia" w:ascii="宋体" w:hAnsi="宋体" w:eastAsia="宋体" w:cs="宋体"/>
          <w:color w:val="FF0000"/>
          <w:sz w:val="24"/>
          <w:szCs w:val="24"/>
          <w:lang w:val="en-US" w:eastAsia="zh-CN"/>
        </w:rPr>
        <w:t>（填写疏散距离情况）</w:t>
      </w:r>
    </w:p>
    <w:p w14:paraId="1CB0133E">
      <w:pPr>
        <w:keepNext w:val="0"/>
        <w:pageBreakBefore w:val="0"/>
        <w:wordWrap/>
        <w:topLinePunct w:val="0"/>
        <w:bidi w:val="0"/>
        <w:spacing w:line="288" w:lineRule="auto"/>
        <w:ind w:left="0" w:leftChars="0" w:right="0" w:rightChars="0" w:firstLine="456" w:firstLineChars="200"/>
        <w:jc w:val="left"/>
        <w:rPr>
          <w:rFonts w:hint="eastAsia" w:ascii="宋体" w:hAnsi="宋体" w:eastAsia="宋体" w:cs="宋体"/>
          <w:color w:val="0D0D0D" w:themeColor="text1" w:themeTint="F2"/>
          <w:spacing w:val="-3"/>
          <w:sz w:val="24"/>
          <w:szCs w:val="24"/>
          <w:lang w:val="en-US"/>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lang w:val="en-US" w:eastAsia="zh-CN"/>
          <w14:textFill>
            <w14:solidFill>
              <w14:schemeClr w14:val="tx1">
                <w14:lumMod w14:val="95000"/>
                <w14:lumOff w14:val="5000"/>
              </w14:schemeClr>
            </w14:solidFill>
          </w14:textFill>
        </w:rPr>
        <w:t>疏散宽度：</w:t>
      </w:r>
      <w:r>
        <w:rPr>
          <w:rFonts w:hint="eastAsia" w:ascii="宋体" w:hAnsi="宋体" w:eastAsia="宋体" w:cs="宋体"/>
          <w:color w:val="FF0000"/>
          <w:spacing w:val="-6"/>
          <w:sz w:val="24"/>
          <w:szCs w:val="24"/>
          <w:lang w:val="en-US" w:eastAsia="zh-CN"/>
        </w:rPr>
        <w:t>改造区域（KTV）KTV总人数:389.4X0.5X1.1=215人（KTV总包厢面积合计:389.4平方米）</w:t>
      </w:r>
      <w:r>
        <w:rPr>
          <w:rFonts w:hint="eastAsia" w:ascii="宋体" w:hAnsi="宋体" w:eastAsia="宋体" w:cs="宋体"/>
          <w:color w:val="FF0000"/>
          <w:spacing w:val="-6"/>
          <w:sz w:val="24"/>
          <w:szCs w:val="24"/>
          <w:lang w:val="zh-CN"/>
        </w:rPr>
        <w:t>，</w:t>
      </w:r>
      <w:r>
        <w:rPr>
          <w:rFonts w:hint="eastAsia" w:ascii="宋体" w:hAnsi="宋体" w:eastAsia="宋体" w:cs="宋体"/>
          <w:color w:val="FF0000"/>
          <w:spacing w:val="-6"/>
          <w:sz w:val="24"/>
          <w:szCs w:val="24"/>
          <w:lang w:val="en-US" w:eastAsia="zh-CN"/>
        </w:rPr>
        <w:t>同防火分区</w:t>
      </w:r>
      <w:r>
        <w:rPr>
          <w:rFonts w:hint="eastAsia" w:ascii="宋体" w:hAnsi="宋体" w:eastAsia="宋体" w:cs="宋体"/>
          <w:color w:val="FF0000"/>
          <w:spacing w:val="-6"/>
          <w:sz w:val="24"/>
          <w:szCs w:val="24"/>
          <w:lang w:val="zh-CN"/>
        </w:rPr>
        <w:t>非</w:t>
      </w:r>
      <w:r>
        <w:rPr>
          <w:rFonts w:hint="eastAsia" w:ascii="宋体" w:hAnsi="宋体" w:eastAsia="宋体" w:cs="宋体"/>
          <w:color w:val="FF0000"/>
          <w:spacing w:val="-6"/>
          <w:sz w:val="24"/>
          <w:szCs w:val="24"/>
          <w:lang w:val="en-US" w:eastAsia="zh-CN"/>
        </w:rPr>
        <w:t>改造</w:t>
      </w:r>
      <w:r>
        <w:rPr>
          <w:rFonts w:hint="eastAsia" w:ascii="宋体" w:hAnsi="宋体" w:eastAsia="宋体" w:cs="宋体"/>
          <w:color w:val="FF0000"/>
          <w:spacing w:val="-6"/>
          <w:sz w:val="24"/>
          <w:szCs w:val="24"/>
          <w:lang w:val="zh-CN"/>
        </w:rPr>
        <w:t>区域疏散人数:2804</w:t>
      </w:r>
      <w:r>
        <w:rPr>
          <w:rFonts w:hint="eastAsia" w:ascii="宋体" w:hAnsi="宋体" w:eastAsia="宋体" w:cs="宋体"/>
          <w:color w:val="FF0000"/>
          <w:spacing w:val="-6"/>
          <w:sz w:val="24"/>
          <w:szCs w:val="24"/>
          <w:lang w:val="en-US" w:eastAsia="zh-CN"/>
        </w:rPr>
        <w:t>/</w:t>
      </w:r>
      <w:r>
        <w:rPr>
          <w:rFonts w:hint="eastAsia" w:ascii="宋体" w:hAnsi="宋体" w:eastAsia="宋体" w:cs="宋体"/>
          <w:color w:val="FF0000"/>
          <w:spacing w:val="-6"/>
          <w:sz w:val="24"/>
          <w:szCs w:val="24"/>
          <w:lang w:val="zh-CN"/>
        </w:rPr>
        <w:t>4.5X1.0=623人(</w:t>
      </w:r>
      <w:r>
        <w:rPr>
          <w:rFonts w:hint="eastAsia" w:ascii="宋体" w:hAnsi="宋体" w:eastAsia="宋体" w:cs="宋体"/>
          <w:color w:val="FF0000"/>
          <w:spacing w:val="-6"/>
          <w:sz w:val="24"/>
          <w:szCs w:val="24"/>
          <w:lang w:val="en-US" w:eastAsia="zh-CN"/>
        </w:rPr>
        <w:t>土建竣工图中数据</w:t>
      </w:r>
      <w:r>
        <w:rPr>
          <w:rFonts w:hint="eastAsia" w:ascii="宋体" w:hAnsi="宋体" w:eastAsia="宋体" w:cs="宋体"/>
          <w:color w:val="FF0000"/>
          <w:spacing w:val="-6"/>
          <w:sz w:val="24"/>
          <w:szCs w:val="24"/>
          <w:lang w:val="zh-CN"/>
        </w:rPr>
        <w:t>)，</w:t>
      </w:r>
      <w:r>
        <w:rPr>
          <w:rFonts w:hint="eastAsia" w:ascii="宋体" w:hAnsi="宋体" w:eastAsia="宋体" w:cs="宋体"/>
          <w:color w:val="FF0000"/>
          <w:spacing w:val="-6"/>
          <w:sz w:val="24"/>
          <w:szCs w:val="24"/>
          <w:lang w:val="en-US" w:eastAsia="zh-CN"/>
        </w:rPr>
        <w:t>本防火分区总人数为838人，所需疏散宽度为838/1=8.38米，设计疏散总宽度为9米；本次改造就近的两部疏散楼梯总宽度为3米也满足KTV疏散宽度（2.15米）要求。</w:t>
      </w:r>
      <w:r>
        <w:rPr>
          <w:rFonts w:hint="eastAsia" w:ascii="宋体" w:hAnsi="宋体" w:eastAsia="宋体" w:cs="宋体"/>
          <w:color w:val="FF0000"/>
          <w:sz w:val="24"/>
          <w:szCs w:val="24"/>
          <w:lang w:val="en-US" w:eastAsia="zh-CN"/>
        </w:rPr>
        <w:t>（填写疏散宽度情况）</w:t>
      </w:r>
    </w:p>
    <w:p w14:paraId="4092D230">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p>
    <w:p w14:paraId="29DF028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2.6</w:t>
      </w:r>
      <w:r>
        <w:rPr>
          <w:rFonts w:hint="eastAsia" w:ascii="宋体" w:hAnsi="宋体" w:eastAsia="宋体" w:cs="宋体"/>
          <w:color w:val="0D0D0D" w:themeColor="text1" w:themeTint="F2"/>
          <w:spacing w:val="2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改造范围内的疏散楼梯和消防电梯</w:t>
      </w:r>
    </w:p>
    <w:p w14:paraId="6B708FB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2.6.1</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疏散楼梯</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r>
        <w:rPr>
          <w:rFonts w:hint="eastAsia" w:ascii="宋体" w:hAnsi="宋体" w:eastAsia="宋体" w:cs="宋体"/>
          <w:b/>
          <w:bCs/>
          <w:color w:val="0D0D0D" w:themeColor="text1" w:themeTint="F2"/>
          <w:spacing w:val="-5"/>
          <w:sz w:val="24"/>
          <w:szCs w:val="24"/>
          <w:lang w:val="en-US" w:eastAsia="zh-CN"/>
          <w14:textFill>
            <w14:solidFill>
              <w14:schemeClr w14:val="tx1">
                <w14:lumMod w14:val="95000"/>
                <w14:lumOff w14:val="5000"/>
              </w14:schemeClr>
            </w14:solidFill>
          </w14:textFill>
        </w:rPr>
        <w:t>按照苏住建消【2023】4号文第4.5.1条，</w:t>
      </w:r>
      <w:r>
        <w:rPr>
          <w:rFonts w:hint="eastAsia" w:ascii="宋体" w:hAnsi="宋体" w:eastAsia="宋体" w:cs="宋体"/>
          <w:b/>
          <w:bCs/>
          <w:color w:val="0D0D0D" w:themeColor="text1" w:themeTint="F2"/>
          <w:spacing w:val="-2"/>
          <w:sz w:val="24"/>
          <w:szCs w:val="24"/>
          <w:lang w:val="en-US" w:eastAsia="zh-CN"/>
          <w14:textFill>
            <w14:solidFill>
              <w14:schemeClr w14:val="tx1">
                <w14:lumMod w14:val="95000"/>
                <w14:lumOff w14:val="5000"/>
              </w14:schemeClr>
            </w14:solidFill>
          </w14:textFill>
        </w:rPr>
        <w:t>按现行标准执行</w:t>
      </w:r>
      <w:r>
        <w:rPr>
          <w:rFonts w:hint="eastAsia" w:ascii="宋体" w:hAnsi="宋体" w:eastAsia="宋体" w:cs="宋体"/>
          <w:b/>
          <w:bCs/>
          <w:color w:val="0D0D0D" w:themeColor="text1" w:themeTint="F2"/>
          <w:spacing w:val="-2"/>
          <w:sz w:val="24"/>
          <w:szCs w:val="24"/>
          <w:lang w:eastAsia="zh-CN"/>
          <w14:textFill>
            <w14:solidFill>
              <w14:schemeClr w14:val="tx1">
                <w14:lumMod w14:val="95000"/>
                <w14:lumOff w14:val="5000"/>
              </w14:schemeClr>
            </w14:solidFill>
          </w14:textFill>
        </w:rPr>
        <w:t>）</w:t>
      </w:r>
    </w:p>
    <w:p w14:paraId="2E276886">
      <w:pPr>
        <w:keepNext w:val="0"/>
        <w:pageBreakBefore w:val="0"/>
        <w:wordWrap/>
        <w:topLinePunct w:val="0"/>
        <w:bidi w:val="0"/>
        <w:spacing w:line="288" w:lineRule="auto"/>
        <w:ind w:left="0" w:leftChars="0" w:right="0" w:rightChars="0" w:firstLine="468" w:firstLineChars="200"/>
        <w:jc w:val="left"/>
        <w:rPr>
          <w:rFonts w:hint="eastAsia" w:ascii="宋体" w:hAnsi="宋体" w:eastAsia="宋体" w:cs="宋体"/>
          <w:color w:val="FF0000"/>
          <w:spacing w:val="-3"/>
          <w:sz w:val="24"/>
          <w:szCs w:val="24"/>
          <w:lang w:val="en-US" w:eastAsia="zh-CN"/>
        </w:rPr>
      </w:pPr>
      <w:r>
        <w:rPr>
          <w:rFonts w:hint="eastAsia" w:ascii="宋体" w:hAnsi="宋体" w:eastAsia="宋体" w:cs="宋体"/>
          <w:color w:val="FF0000"/>
          <w:spacing w:val="-3"/>
          <w:sz w:val="24"/>
          <w:szCs w:val="24"/>
          <w:lang w:val="en-US" w:eastAsia="zh-CN"/>
        </w:rPr>
        <w:t>改造区域疏散所有楼梯按照现行规范复核，防火分隔、前室面积、安全出口宽度、楼梯踏步高度及宽度均符合</w:t>
      </w:r>
      <w:r>
        <w:rPr>
          <w:rFonts w:hint="eastAsia" w:ascii="宋体" w:hAnsi="宋体" w:eastAsia="宋体" w:cs="宋体"/>
          <w:b/>
          <w:bCs/>
          <w:color w:val="FF0000"/>
          <w:spacing w:val="-2"/>
          <w:sz w:val="24"/>
          <w:szCs w:val="24"/>
          <w:lang w:val="en-US" w:eastAsia="zh-CN"/>
        </w:rPr>
        <w:t>按现行标准执行要求。</w:t>
      </w:r>
      <w:r>
        <w:rPr>
          <w:rFonts w:hint="eastAsia" w:ascii="宋体" w:hAnsi="宋体" w:eastAsia="宋体" w:cs="宋体"/>
          <w:b w:val="0"/>
          <w:bCs w:val="0"/>
          <w:color w:val="FF0000"/>
          <w:spacing w:val="-2"/>
          <w:sz w:val="24"/>
          <w:szCs w:val="24"/>
          <w:lang w:val="en-US" w:eastAsia="zh-CN"/>
        </w:rPr>
        <w:t>一部疏散楼梯在底层能直接对外、一部疏散楼梯在底层通过扩大前室直接对外。</w:t>
      </w:r>
    </w:p>
    <w:p w14:paraId="28594D4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2.6.2 消防电梯</w:t>
      </w:r>
    </w:p>
    <w:p w14:paraId="584652CB">
      <w:pPr>
        <w:keepNext w:val="0"/>
        <w:pageBreakBefore w:val="0"/>
        <w:wordWrap/>
        <w:topLinePunct w:val="0"/>
        <w:bidi w:val="0"/>
        <w:spacing w:line="288" w:lineRule="auto"/>
        <w:ind w:left="0" w:leftChars="0" w:right="0" w:rightChars="0" w:firstLine="462" w:firstLineChars="200"/>
        <w:jc w:val="left"/>
        <w:rPr>
          <w:rFonts w:hint="eastAsia" w:ascii="宋体" w:hAnsi="宋体" w:eastAsia="宋体" w:cs="宋体"/>
          <w:color w:val="FF0000"/>
          <w:spacing w:val="-3"/>
          <w:sz w:val="24"/>
          <w:szCs w:val="24"/>
        </w:rPr>
      </w:pPr>
      <w:r>
        <w:rPr>
          <w:rFonts w:hint="eastAsia" w:ascii="宋体" w:hAnsi="宋体" w:eastAsia="宋体" w:cs="宋体"/>
          <w:b/>
          <w:bCs/>
          <w:color w:val="FF0000"/>
          <w:spacing w:val="-5"/>
          <w:sz w:val="24"/>
          <w:szCs w:val="24"/>
          <w:lang w:val="en-US" w:eastAsia="zh-CN"/>
        </w:rPr>
        <w:t>经复核符合原标准，按照苏住建消【2023】4号文第4.6.1条，本次改造无需调整。</w:t>
      </w:r>
    </w:p>
    <w:p w14:paraId="60A193A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1CE3249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2.7</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消防</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救援</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口及楼梯间顶部固定窗</w:t>
      </w:r>
    </w:p>
    <w:p w14:paraId="5C12AB8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2.7.1</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7"/>
          <w:sz w:val="24"/>
          <w:szCs w:val="24"/>
          <w:lang w:val="en-US" w:eastAsia="zh-CN"/>
          <w14:textFill>
            <w14:solidFill>
              <w14:schemeClr w14:val="tx1">
                <w14:lumMod w14:val="95000"/>
                <w14:lumOff w14:val="5000"/>
              </w14:schemeClr>
            </w14:solidFill>
          </w14:textFill>
        </w:rPr>
        <w:t>消防</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救援</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口</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设置</w:t>
      </w:r>
      <w:r>
        <w:rPr>
          <w:rFonts w:hint="eastAsia" w:ascii="宋体" w:hAnsi="宋体" w:eastAsia="宋体" w:cs="宋体"/>
          <w:color w:val="FF0000"/>
          <w:sz w:val="24"/>
          <w:szCs w:val="24"/>
          <w:lang w:val="en-US" w:eastAsia="zh-CN"/>
        </w:rPr>
        <w:t>（据实填写）</w:t>
      </w:r>
    </w:p>
    <w:p w14:paraId="70A16483">
      <w:pPr>
        <w:keepNext w:val="0"/>
        <w:pageBreakBefore w:val="0"/>
        <w:wordWrap/>
        <w:topLinePunct w:val="0"/>
        <w:bidi w:val="0"/>
        <w:spacing w:line="288" w:lineRule="auto"/>
        <w:ind w:left="0" w:leftChars="0" w:right="0" w:rightChars="0" w:firstLine="468" w:firstLineChars="200"/>
        <w:jc w:val="left"/>
        <w:rPr>
          <w:rFonts w:hint="eastAsia" w:ascii="宋体" w:hAnsi="宋体" w:eastAsia="宋体" w:cs="宋体"/>
          <w:color w:val="FF0000"/>
          <w:spacing w:val="-3"/>
          <w:sz w:val="24"/>
          <w:szCs w:val="24"/>
          <w:lang w:val="en-US" w:eastAsia="zh-CN"/>
        </w:rPr>
      </w:pPr>
      <w:r>
        <w:rPr>
          <w:rFonts w:hint="eastAsia" w:ascii="宋体" w:hAnsi="宋体" w:eastAsia="宋体" w:cs="宋体"/>
          <w:color w:val="FF0000"/>
          <w:spacing w:val="-3"/>
          <w:sz w:val="24"/>
          <w:szCs w:val="24"/>
          <w:lang w:val="en-US" w:eastAsia="zh-CN"/>
        </w:rPr>
        <w:t>改造区域不靠外墙，按照苏住建消【2023】4号文第4.3.1.2条，本次改造无需设置消防救援口。</w:t>
      </w:r>
    </w:p>
    <w:p w14:paraId="1A8982F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2.7.2 楼梯间顶部固定窗</w:t>
      </w:r>
      <w:r>
        <w:rPr>
          <w:rFonts w:hint="eastAsia" w:ascii="宋体" w:hAnsi="宋体" w:eastAsia="宋体" w:cs="宋体"/>
          <w:color w:val="FF0000"/>
          <w:sz w:val="24"/>
          <w:szCs w:val="24"/>
          <w:lang w:val="en-US" w:eastAsia="zh-CN"/>
        </w:rPr>
        <w:t>（据实填写）</w:t>
      </w:r>
    </w:p>
    <w:p w14:paraId="5F92A881">
      <w:pPr>
        <w:keepNext w:val="0"/>
        <w:pageBreakBefore w:val="0"/>
        <w:wordWrap/>
        <w:topLinePunct w:val="0"/>
        <w:bidi w:val="0"/>
        <w:spacing w:line="288" w:lineRule="auto"/>
        <w:ind w:left="0" w:leftChars="0" w:right="0" w:rightChars="0" w:firstLine="468" w:firstLineChars="200"/>
        <w:jc w:val="left"/>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改造区域疏散楼梯间由于不靠外墙也没有出屋面所以无固定窗，按照苏住建消【2023】4号文第4.3.2.2条，本次改造楼梯间顶部无需设置固定窗。</w:t>
      </w:r>
    </w:p>
    <w:p w14:paraId="2B56FD2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528B590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2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改造范围内的建筑构造</w:t>
      </w:r>
    </w:p>
    <w:p w14:paraId="46E3724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2.8.1</w:t>
      </w:r>
      <w:r>
        <w:rPr>
          <w:rFonts w:hint="eastAsia" w:ascii="宋体" w:hAnsi="宋体" w:eastAsia="宋体" w:cs="宋体"/>
          <w:color w:val="0D0D0D" w:themeColor="text1" w:themeTint="F2"/>
          <w:spacing w:val="3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防火墙、隔墙、窗槛墙</w:t>
      </w:r>
    </w:p>
    <w:p w14:paraId="1EA4F17B">
      <w:pPr>
        <w:keepNext w:val="0"/>
        <w:pageBreakBefore w:val="0"/>
        <w:wordWrap/>
        <w:topLinePunct w:val="0"/>
        <w:bidi w:val="0"/>
        <w:spacing w:line="288" w:lineRule="auto"/>
        <w:ind w:left="0" w:leftChars="0" w:right="0" w:rightChars="0" w:firstLine="492"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防火墙均直接设置在建筑的基础或框架、梁等承重结构上，并从楼地面基</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层隔断至梁、楼板或屋面板的底面基层。</w:t>
      </w:r>
    </w:p>
    <w:p w14:paraId="38D0B8AD">
      <w:pPr>
        <w:keepNext w:val="0"/>
        <w:pageBreakBefore w:val="0"/>
        <w:wordWrap/>
        <w:topLinePunct w:val="0"/>
        <w:bidi w:val="0"/>
        <w:spacing w:line="288" w:lineRule="auto"/>
        <w:ind w:left="0" w:leftChars="0" w:right="0" w:rightChars="0" w:firstLine="484"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防火墙两侧的门、窗、洞口之间最近边缘的水平距离不小于</w:t>
      </w:r>
      <w:r>
        <w:rPr>
          <w:rFonts w:hint="eastAsia" w:ascii="宋体" w:hAnsi="宋体" w:eastAsia="宋体" w:cs="宋体"/>
          <w:color w:val="0D0D0D" w:themeColor="text1" w:themeTint="F2"/>
          <w:spacing w:val="-3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2.0m，内转角</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处距离不小于</w:t>
      </w:r>
      <w:r>
        <w:rPr>
          <w:rFonts w:hint="eastAsia" w:ascii="宋体" w:hAnsi="宋体" w:eastAsia="宋体" w:cs="宋体"/>
          <w:color w:val="0D0D0D" w:themeColor="text1" w:themeTint="F2"/>
          <w:spacing w:val="-4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4.0m。</w:t>
      </w:r>
    </w:p>
    <w:p w14:paraId="1497A60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2.8.3</w:t>
      </w:r>
      <w:r>
        <w:rPr>
          <w:rFonts w:hint="eastAsia" w:ascii="宋体" w:hAnsi="宋体" w:eastAsia="宋体" w:cs="宋体"/>
          <w:color w:val="0D0D0D" w:themeColor="text1" w:themeTint="F2"/>
          <w:spacing w:val="4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电梯井、管道井</w:t>
      </w:r>
    </w:p>
    <w:p w14:paraId="4B62FC01">
      <w:pPr>
        <w:keepNext w:val="0"/>
        <w:pageBreakBefore w:val="0"/>
        <w:wordWrap/>
        <w:topLinePunct w:val="0"/>
        <w:bidi w:val="0"/>
        <w:spacing w:line="288" w:lineRule="auto"/>
        <w:ind w:left="0" w:leftChars="0" w:right="0" w:rightChars="0" w:firstLine="460" w:firstLineChars="200"/>
        <w:jc w:val="left"/>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lang w:val="en-US" w:eastAsia="zh-CN"/>
          <w14:textFill>
            <w14:solidFill>
              <w14:schemeClr w14:val="tx1">
                <w14:lumMod w14:val="95000"/>
                <w14:lumOff w14:val="5000"/>
              </w14:schemeClr>
            </w14:solidFill>
          </w14:textFill>
        </w:rPr>
        <w:t>改造区域无电梯、改造区域有水管井，管井门为丙级防火门</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w:t>
      </w:r>
    </w:p>
    <w:p w14:paraId="05C2ADB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建筑封堵</w:t>
      </w:r>
    </w:p>
    <w:p w14:paraId="48A2F4C1">
      <w:pPr>
        <w:keepNext w:val="0"/>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管道井在管线安装完毕后,每层</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楼板处封平，封堵措施为</w:t>
      </w:r>
      <w:r>
        <w:rPr>
          <w:rFonts w:hint="eastAsia" w:ascii="宋体" w:hAnsi="宋体" w:eastAsia="宋体" w:cs="宋体"/>
          <w:color w:val="0D0D0D" w:themeColor="text1" w:themeTint="F2"/>
          <w:spacing w:val="1"/>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u w:val="single"/>
          <w14:textFill>
            <w14:solidFill>
              <w14:schemeClr w14:val="tx1">
                <w14:lumMod w14:val="95000"/>
                <w14:lumOff w14:val="5000"/>
              </w14:schemeClr>
            </w14:solidFill>
          </w14:textFill>
        </w:rPr>
        <w:t xml:space="preserve">每层楼板处采用不低于楼板耐火极限的不燃性材料或防火封堵材料封堵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。管道井与房间、走</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道等相连通的孔洞封堵措施为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u w:val="single"/>
          <w14:textFill>
            <w14:solidFill>
              <w14:schemeClr w14:val="tx1">
                <w14:lumMod w14:val="95000"/>
                <w14:lumOff w14:val="5000"/>
              </w14:schemeClr>
            </w14:solidFill>
          </w14:textFill>
        </w:rPr>
        <w:t>采用</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不低于房间、走道隔墙耐火极限的不燃性材料或防火封堵材料封堵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p>
    <w:p w14:paraId="2E9467DB">
      <w:pPr>
        <w:keepNext w:val="0"/>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lang w:val="en-US" w:eastAsia="zh-CN"/>
          <w14:textFill>
            <w14:solidFill>
              <w14:schemeClr w14:val="tx1">
                <w14:lumMod w14:val="95000"/>
                <w14:lumOff w14:val="5000"/>
              </w14:schemeClr>
            </w14:solidFill>
          </w14:textFill>
        </w:rPr>
        <w:t>改造区域不靠外墙，不涉及外墙缝隙封堵。</w:t>
      </w:r>
    </w:p>
    <w:p w14:paraId="3BED4C8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5</w:t>
      </w:r>
      <w:r>
        <w:rPr>
          <w:rFonts w:hint="eastAsia" w:ascii="宋体" w:hAnsi="宋体" w:eastAsia="宋体" w:cs="宋体"/>
          <w:color w:val="0D0D0D" w:themeColor="text1" w:themeTint="F2"/>
          <w:spacing w:val="1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建筑保温和外墙装饰</w:t>
      </w:r>
      <w:r>
        <w:rPr>
          <w:rFonts w:hint="eastAsia" w:ascii="宋体" w:hAnsi="宋体" w:eastAsia="宋体" w:cs="宋体"/>
          <w:color w:val="FF0000"/>
          <w:spacing w:val="-2"/>
          <w:sz w:val="24"/>
          <w:szCs w:val="24"/>
        </w:rPr>
        <w:t>(未做调整)</w:t>
      </w:r>
      <w:r>
        <w:rPr>
          <w:rFonts w:hint="eastAsia" w:ascii="宋体" w:hAnsi="宋体" w:eastAsia="宋体" w:cs="宋体"/>
          <w:color w:val="FF0000"/>
          <w:sz w:val="24"/>
          <w:szCs w:val="24"/>
          <w:lang w:val="en-US" w:eastAsia="zh-CN"/>
        </w:rPr>
        <w:t>（据实填写）</w:t>
      </w:r>
    </w:p>
    <w:p w14:paraId="3D086C92">
      <w:pPr>
        <w:keepNext w:val="0"/>
        <w:pageBreakBefore w:val="0"/>
        <w:wordWrap/>
        <w:topLinePunct w:val="0"/>
        <w:bidi w:val="0"/>
        <w:spacing w:line="288" w:lineRule="auto"/>
        <w:ind w:left="0" w:leftChars="0" w:right="0" w:rightChars="0" w:firstLine="460" w:firstLineChars="200"/>
        <w:jc w:val="left"/>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本工程建筑外墙保温材料为</w:t>
      </w:r>
      <w:r>
        <w:rPr>
          <w:rFonts w:hint="eastAsia" w:ascii="宋体" w:hAnsi="宋体" w:eastAsia="宋体" w:cs="宋体"/>
          <w:color w:val="FF0000"/>
          <w:spacing w:val="10"/>
          <w:sz w:val="24"/>
          <w:szCs w:val="24"/>
          <w:u w:val="single"/>
        </w:rPr>
        <w:t xml:space="preserve"> </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挤塑聚苯板</w:t>
      </w:r>
      <w:r>
        <w:rPr>
          <w:rFonts w:hint="eastAsia" w:ascii="宋体" w:hAnsi="宋体" w:eastAsia="宋体" w:cs="宋体"/>
          <w:color w:val="FF0000"/>
          <w:spacing w:val="10"/>
          <w:sz w:val="24"/>
          <w:szCs w:val="24"/>
          <w:u w:val="single"/>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，燃烧性能等级</w:t>
      </w:r>
      <w:r>
        <w:rPr>
          <w:rFonts w:hint="eastAsia" w:ascii="宋体" w:hAnsi="宋体" w:eastAsia="宋体" w:cs="宋体"/>
          <w:color w:val="FF0000"/>
          <w:spacing w:val="8"/>
          <w:sz w:val="24"/>
          <w:szCs w:val="24"/>
          <w:u w:val="single"/>
        </w:rPr>
        <w:t xml:space="preserve">  </w:t>
      </w:r>
      <w:r>
        <w:rPr>
          <w:rFonts w:hint="eastAsia" w:ascii="宋体" w:hAnsi="宋体" w:eastAsia="宋体" w:cs="宋体"/>
          <w:color w:val="FF0000"/>
          <w:spacing w:val="8"/>
          <w:sz w:val="24"/>
          <w:szCs w:val="24"/>
          <w:u w:val="single"/>
          <w:lang w:val="en-US" w:eastAsia="zh-CN"/>
        </w:rPr>
        <w:t>B1</w:t>
      </w:r>
      <w:r>
        <w:rPr>
          <w:rFonts w:hint="eastAsia" w:ascii="宋体" w:hAnsi="宋体" w:eastAsia="宋体" w:cs="宋体"/>
          <w:color w:val="FF0000"/>
          <w:spacing w:val="8"/>
          <w:sz w:val="24"/>
          <w:szCs w:val="24"/>
          <w:u w:val="single"/>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级；</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屋面保温材料为</w:t>
      </w:r>
      <w:r>
        <w:rPr>
          <w:rFonts w:hint="eastAsia" w:ascii="宋体" w:hAnsi="宋体" w:eastAsia="宋体" w:cs="宋体"/>
          <w:color w:val="FF0000"/>
          <w:spacing w:val="8"/>
          <w:sz w:val="24"/>
          <w:szCs w:val="24"/>
          <w:u w:val="single"/>
        </w:rPr>
        <w:t xml:space="preserve"> </w:t>
      </w:r>
      <w:r>
        <w:rPr>
          <w:rFonts w:hint="eastAsia"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挤塑聚苯板</w:t>
      </w:r>
      <w:r>
        <w:rPr>
          <w:rFonts w:hint="eastAsia" w:ascii="宋体" w:hAnsi="宋体" w:eastAsia="宋体" w:cs="宋体"/>
          <w:color w:val="FF0000"/>
          <w:sz w:val="24"/>
          <w:szCs w:val="24"/>
          <w:u w:val="single"/>
        </w:rPr>
        <w:t xml:space="preserve"> </w:t>
      </w:r>
      <w:r>
        <w:rPr>
          <w:rFonts w:hint="eastAsia" w:ascii="宋体" w:hAnsi="宋体" w:eastAsia="宋体" w:cs="宋体"/>
          <w:color w:val="FF0000"/>
          <w:spacing w:val="8"/>
          <w:sz w:val="24"/>
          <w:szCs w:val="24"/>
          <w:u w:val="single"/>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，燃烧性能等级</w:t>
      </w:r>
      <w:r>
        <w:rPr>
          <w:rFonts w:hint="eastAsia" w:ascii="宋体" w:hAnsi="宋体" w:eastAsia="宋体" w:cs="宋体"/>
          <w:color w:val="FF0000"/>
          <w:spacing w:val="3"/>
          <w:sz w:val="24"/>
          <w:szCs w:val="24"/>
          <w:u w:val="single"/>
        </w:rPr>
        <w:t xml:space="preserve"> </w:t>
      </w:r>
      <w:r>
        <w:rPr>
          <w:rFonts w:hint="eastAsia" w:ascii="宋体" w:hAnsi="宋体" w:eastAsia="宋体" w:cs="宋体"/>
          <w:color w:val="FF0000"/>
          <w:spacing w:val="8"/>
          <w:sz w:val="24"/>
          <w:szCs w:val="24"/>
          <w:u w:val="single"/>
          <w:lang w:val="en-US" w:eastAsia="zh-CN"/>
        </w:rPr>
        <w:t>B1</w:t>
      </w:r>
      <w:r>
        <w:rPr>
          <w:rFonts w:hint="eastAsia" w:ascii="宋体" w:hAnsi="宋体" w:eastAsia="宋体" w:cs="宋体"/>
          <w:color w:val="FF0000"/>
          <w:sz w:val="24"/>
          <w:szCs w:val="24"/>
          <w:u w:val="single"/>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 xml:space="preserve">级。 </w:t>
      </w:r>
    </w:p>
    <w:p w14:paraId="0739EA85">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6</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建筑构件</w:t>
      </w:r>
    </w:p>
    <w:p w14:paraId="53E69CBF">
      <w:pPr>
        <w:keepNext w:val="0"/>
        <w:pageBreakBefore w:val="0"/>
        <w:wordWrap/>
        <w:topLinePunct w:val="0"/>
        <w:bidi w:val="0"/>
        <w:spacing w:line="288" w:lineRule="auto"/>
        <w:ind w:left="0" w:leftChars="0" w:right="0" w:rightChars="0" w:firstLine="47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本工程地上耐火等级为</w:t>
      </w:r>
      <w:r>
        <w:rPr>
          <w:rFonts w:hint="eastAsia" w:ascii="宋体" w:hAnsi="宋体" w:eastAsia="宋体" w:cs="宋体"/>
          <w:color w:val="FF0000"/>
          <w:spacing w:val="9"/>
          <w:sz w:val="24"/>
          <w:szCs w:val="24"/>
          <w:u w:val="single"/>
        </w:rPr>
        <w:t xml:space="preserve">  一级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，主要建筑构件满足防</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火规范中不同耐火等级建筑相应构件的燃烧性能和耐火极限要求。</w:t>
      </w:r>
    </w:p>
    <w:p w14:paraId="51184093">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7</w:t>
      </w:r>
      <w:r>
        <w:rPr>
          <w:rFonts w:hint="eastAsia" w:ascii="宋体" w:hAnsi="宋体" w:eastAsia="宋体" w:cs="宋体"/>
          <w:color w:val="0D0D0D" w:themeColor="text1" w:themeTint="F2"/>
          <w:spacing w:val="2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防火门窗、疏散门</w:t>
      </w:r>
    </w:p>
    <w:p w14:paraId="77F09380">
      <w:pPr>
        <w:keepNext w:val="0"/>
        <w:pageBreakBefore w:val="0"/>
        <w:wordWrap/>
        <w:topLinePunct w:val="0"/>
        <w:bidi w:val="0"/>
        <w:spacing w:line="288" w:lineRule="auto"/>
        <w:ind w:left="0" w:leftChars="0" w:right="0" w:rightChars="0" w:firstLine="560" w:firstLineChars="200"/>
        <w:jc w:val="left"/>
        <w:rPr>
          <w:rFonts w:hint="eastAsia" w:ascii="宋体" w:hAnsi="宋体" w:eastAsia="宋体" w:cs="宋体"/>
          <w:color w:val="0D0D0D" w:themeColor="text1" w:themeTint="F2"/>
          <w:spacing w:val="20"/>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0"/>
          <w:sz w:val="24"/>
          <w:szCs w:val="24"/>
          <w:lang w:val="en-US" w:eastAsia="zh-CN"/>
          <w14:textFill>
            <w14:solidFill>
              <w14:schemeClr w14:val="tx1">
                <w14:lumMod w14:val="95000"/>
                <w14:lumOff w14:val="5000"/>
              </w14:schemeClr>
            </w14:solidFill>
          </w14:textFill>
        </w:rPr>
        <w:t>房间门均采用乙级防火门，排烟机房的门采用</w:t>
      </w:r>
      <w:r>
        <w:rPr>
          <w:rFonts w:hint="eastAsia" w:ascii="宋体" w:hAnsi="宋体" w:eastAsia="宋体" w:cs="宋体"/>
          <w:color w:val="0D0D0D" w:themeColor="text1" w:themeTint="F2"/>
          <w:spacing w:val="20"/>
          <w:sz w:val="24"/>
          <w:szCs w:val="24"/>
          <w:u w:val="none"/>
          <w:lang w:val="en-US" w:eastAsia="zh-CN"/>
          <w14:textFill>
            <w14:solidFill>
              <w14:schemeClr w14:val="tx1">
                <w14:lumMod w14:val="95000"/>
                <w14:lumOff w14:val="5000"/>
              </w14:schemeClr>
            </w14:solidFill>
          </w14:textFill>
        </w:rPr>
        <w:t>甲级防火门，</w:t>
      </w:r>
      <w:r>
        <w:rPr>
          <w:rFonts w:hint="eastAsia" w:ascii="宋体" w:hAnsi="宋体" w:eastAsia="宋体" w:cs="宋体"/>
          <w:color w:val="0D0D0D" w:themeColor="text1" w:themeTint="F2"/>
          <w:spacing w:val="20"/>
          <w:sz w:val="24"/>
          <w:szCs w:val="24"/>
          <w:lang w:val="en-US" w:eastAsia="zh-CN"/>
          <w14:textFill>
            <w14:solidFill>
              <w14:schemeClr w14:val="tx1">
                <w14:lumMod w14:val="95000"/>
                <w14:lumOff w14:val="5000"/>
              </w14:schemeClr>
            </w14:solidFill>
          </w14:textFill>
        </w:rPr>
        <w:t>设备管井检修门采用丙级防火门。</w:t>
      </w:r>
    </w:p>
    <w:p w14:paraId="63579FBE">
      <w:pPr>
        <w:keepNext w:val="0"/>
        <w:pageBreakBefore w:val="0"/>
        <w:wordWrap/>
        <w:topLinePunct w:val="0"/>
        <w:bidi w:val="0"/>
        <w:spacing w:line="288" w:lineRule="auto"/>
        <w:ind w:left="0" w:leftChars="0" w:right="0" w:rightChars="0" w:firstLine="472"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疏散走道在防火分区处设置常开甲级防火门；建筑内经常有人通行处的防火门采用常开防火门。</w:t>
      </w:r>
    </w:p>
    <w:p w14:paraId="33981ACF">
      <w:pPr>
        <w:keepNext w:val="0"/>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人员密集场所内平时需要控制人员随意出入的疏散门和设置门禁系统的建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筑外门，火灾时不需使用钥匙等任何工具即能从内部易于打开,并在显著位置设</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置具有使用提示的标识。</w:t>
      </w:r>
    </w:p>
    <w:p w14:paraId="6D49486B">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2.8.9</w:t>
      </w:r>
      <w:r>
        <w:rPr>
          <w:rFonts w:hint="eastAsia" w:ascii="宋体" w:hAnsi="宋体" w:eastAsia="宋体" w:cs="宋体"/>
          <w:color w:val="0D0D0D" w:themeColor="text1" w:themeTint="F2"/>
          <w:spacing w:val="-5"/>
          <w:sz w:val="24"/>
          <w:szCs w:val="24"/>
          <w:lang w:val="en-US" w:eastAsia="zh-CN"/>
          <w14:textFill>
            <w14:solidFill>
              <w14:schemeClr w14:val="tx1">
                <w14:lumMod w14:val="95000"/>
                <w14:lumOff w14:val="5000"/>
              </w14:schemeClr>
            </w14:solidFill>
          </w14:textFill>
        </w:rPr>
        <w:t>8</w:t>
      </w:r>
      <w:r>
        <w:rPr>
          <w:rFonts w:hint="eastAsia" w:ascii="宋体" w:hAnsi="宋体" w:eastAsia="宋体" w:cs="宋体"/>
          <w:color w:val="0D0D0D" w:themeColor="text1" w:themeTint="F2"/>
          <w:spacing w:val="3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防火卷帘</w:t>
      </w:r>
    </w:p>
    <w:p w14:paraId="640DFE5F">
      <w:pPr>
        <w:keepNext w:val="0"/>
        <w:pageBreakBefore w:val="0"/>
        <w:wordWrap/>
        <w:topLinePunct w:val="0"/>
        <w:bidi w:val="0"/>
        <w:spacing w:line="288" w:lineRule="auto"/>
        <w:ind w:left="0" w:leftChars="0" w:right="0" w:rightChars="0" w:firstLine="484"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本次改造区域与非改造区域（中庭区域）在7轴交L~N轴交接处有原防火卷帘，本次改造在防火卷帘内侧用耐火极限4小时墙体砌筑替代防火卷帘做防火分隔，墙体上门为甲级防火门</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w:t>
      </w:r>
    </w:p>
    <w:p w14:paraId="65058BB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2.8.</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9</w:t>
      </w:r>
      <w:r>
        <w:rPr>
          <w:rFonts w:hint="eastAsia" w:ascii="宋体" w:hAnsi="宋体" w:eastAsia="宋体" w:cs="宋体"/>
          <w:color w:val="0D0D0D" w:themeColor="text1" w:themeTint="F2"/>
          <w:spacing w:val="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钢结构防火</w:t>
      </w:r>
    </w:p>
    <w:p w14:paraId="20517E0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（本工程不涉及）</w:t>
      </w:r>
    </w:p>
    <w:p w14:paraId="31DB905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2EDF1B77">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9</w:t>
      </w:r>
      <w:r>
        <w:rPr>
          <w:rFonts w:hint="eastAsia" w:ascii="宋体" w:hAnsi="宋体" w:eastAsia="宋体" w:cs="宋体"/>
          <w:color w:val="0D0D0D" w:themeColor="text1" w:themeTint="F2"/>
          <w:spacing w:val="1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专项建筑规范中</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消防</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标准执行情况</w:t>
      </w:r>
    </w:p>
    <w:p w14:paraId="46D3F8DE">
      <w:pPr>
        <w:keepNext w:val="0"/>
        <w:pageBreakBefore w:val="0"/>
        <w:wordWrap/>
        <w:topLinePunct w:val="0"/>
        <w:bidi w:val="0"/>
        <w:spacing w:line="288" w:lineRule="auto"/>
        <w:ind w:left="0" w:leftChars="0" w:right="0" w:rightChars="0" w:firstLine="476" w:firstLineChars="200"/>
        <w:jc w:val="left"/>
        <w:rPr>
          <w:rFonts w:hint="eastAsia" w:ascii="宋体" w:hAnsi="宋体" w:eastAsia="宋体" w:cs="宋体"/>
          <w:color w:val="0D0D0D" w:themeColor="text1" w:themeTint="F2"/>
          <w:spacing w:val="-10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本改造工程</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功能为KTV,无专项建筑规范</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103"/>
          <w:sz w:val="24"/>
          <w:szCs w:val="24"/>
          <w14:textFill>
            <w14:solidFill>
              <w14:schemeClr w14:val="tx1">
                <w14:lumMod w14:val="95000"/>
                <w14:lumOff w14:val="5000"/>
              </w14:schemeClr>
            </w14:solidFill>
          </w14:textFill>
        </w:rPr>
        <w:t xml:space="preserve"> </w:t>
      </w:r>
    </w:p>
    <w:p w14:paraId="331AEC9A">
      <w:pPr>
        <w:rPr>
          <w:rFonts w:hint="eastAsia" w:ascii="宋体" w:hAnsi="宋体" w:eastAsia="宋体" w:cs="宋体"/>
          <w:color w:val="0D0D0D" w:themeColor="text1" w:themeTint="F2"/>
          <w:spacing w:val="-10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03"/>
          <w:sz w:val="24"/>
          <w:szCs w:val="24"/>
          <w14:textFill>
            <w14:solidFill>
              <w14:schemeClr w14:val="tx1">
                <w14:lumMod w14:val="95000"/>
                <w14:lumOff w14:val="5000"/>
              </w14:schemeClr>
            </w14:solidFill>
          </w14:textFill>
        </w:rPr>
        <w:br w:type="page"/>
      </w:r>
    </w:p>
    <w:p w14:paraId="6043FB82">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3 结构专业</w:t>
      </w:r>
      <w:r>
        <w:rPr>
          <w:rFonts w:hint="eastAsia" w:ascii="宋体" w:hAnsi="宋体" w:eastAsia="宋体" w:cs="宋体"/>
          <w:color w:val="FF0000"/>
          <w:spacing w:val="-3"/>
          <w:sz w:val="24"/>
          <w:szCs w:val="24"/>
        </w:rPr>
        <w:t>（本工程不涉及</w:t>
      </w:r>
      <w:r>
        <w:rPr>
          <w:rFonts w:hint="eastAsia" w:ascii="宋体" w:hAnsi="宋体" w:eastAsia="宋体" w:cs="宋体"/>
          <w:color w:val="FF0000"/>
          <w:spacing w:val="-3"/>
          <w:sz w:val="24"/>
          <w:szCs w:val="24"/>
          <w:lang w:eastAsia="zh-CN"/>
        </w:rPr>
        <w:t>，</w:t>
      </w:r>
      <w:r>
        <w:rPr>
          <w:rFonts w:hint="eastAsia" w:ascii="宋体" w:hAnsi="宋体" w:eastAsia="宋体" w:cs="宋体"/>
          <w:color w:val="FF0000"/>
          <w:spacing w:val="-3"/>
          <w:sz w:val="24"/>
          <w:szCs w:val="24"/>
          <w:lang w:val="en-US" w:eastAsia="zh-CN"/>
        </w:rPr>
        <w:t>如有涉及需要写和消防相关的内容</w:t>
      </w:r>
      <w:r>
        <w:rPr>
          <w:rFonts w:hint="eastAsia" w:ascii="宋体" w:hAnsi="宋体" w:eastAsia="宋体" w:cs="宋体"/>
          <w:color w:val="FF0000"/>
          <w:spacing w:val="-3"/>
          <w:sz w:val="24"/>
          <w:szCs w:val="24"/>
        </w:rPr>
        <w:t>）</w:t>
      </w:r>
    </w:p>
    <w:p w14:paraId="59F055B4">
      <w:pP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br w:type="page"/>
      </w:r>
    </w:p>
    <w:p w14:paraId="5117C6A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4 给水排水专业</w:t>
      </w:r>
    </w:p>
    <w:p w14:paraId="2DE1F1C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1338E7B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6"/>
          <w:sz w:val="24"/>
          <w:szCs w:val="24"/>
        </w:rPr>
        <w:t>4.1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6"/>
          <w:sz w:val="24"/>
          <w:szCs w:val="24"/>
        </w:rPr>
        <w:t>改造内容</w:t>
      </w:r>
    </w:p>
    <w:p w14:paraId="3C4B4C38">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auto"/>
          <w:sz w:val="24"/>
          <w:szCs w:val="24"/>
        </w:rPr>
        <w:t>4.1.1 消防给水主系统改造内容为</w:t>
      </w:r>
      <w:r>
        <w:rPr>
          <w:rFonts w:hint="eastAsia" w:ascii="宋体" w:hAnsi="宋体" w:eastAsia="宋体" w:cs="宋体"/>
          <w:color w:val="C00000"/>
          <w:sz w:val="24"/>
          <w:szCs w:val="24"/>
          <w:u w:val="single" w:color="FF0000"/>
        </w:rPr>
        <w:t xml:space="preserve"> 移动消火栓位置</w:t>
      </w:r>
      <w:r>
        <w:rPr>
          <w:rFonts w:hint="eastAsia" w:ascii="宋体" w:hAnsi="宋体" w:eastAsia="宋体" w:cs="宋体"/>
          <w:color w:val="C00000"/>
          <w:spacing w:val="-1"/>
          <w:sz w:val="24"/>
          <w:szCs w:val="24"/>
          <w:u w:val="single" w:color="FF0000"/>
        </w:rPr>
        <w:t>及移动喷淋头点位</w:t>
      </w:r>
      <w:r>
        <w:rPr>
          <w:rFonts w:hint="eastAsia" w:ascii="宋体" w:hAnsi="宋体" w:eastAsia="宋体" w:cs="宋体"/>
          <w:color w:val="C00000"/>
          <w:spacing w:val="-1"/>
          <w:sz w:val="24"/>
          <w:szCs w:val="24"/>
          <w:u w:val="single" w:color="auto"/>
        </w:rPr>
        <w:t xml:space="preserve"> </w:t>
      </w:r>
      <w:r>
        <w:rPr>
          <w:rFonts w:hint="eastAsia" w:ascii="宋体" w:hAnsi="宋体" w:eastAsia="宋体" w:cs="宋体"/>
          <w:color w:val="C00000"/>
          <w:spacing w:val="-1"/>
          <w:sz w:val="24"/>
          <w:szCs w:val="24"/>
          <w:u w:val="single" w:color="FF0000"/>
          <w:lang w:eastAsia="zh-CN"/>
        </w:rPr>
        <w:t>；</w:t>
      </w:r>
      <w:r>
        <w:rPr>
          <w:rFonts w:hint="eastAsia" w:ascii="宋体" w:hAnsi="宋体" w:eastAsia="宋体" w:cs="宋体"/>
          <w:color w:val="C00000"/>
          <w:spacing w:val="-1"/>
          <w:sz w:val="24"/>
          <w:szCs w:val="24"/>
          <w:u w:val="single" w:color="FF0000"/>
          <w:lang w:val="en-US" w:eastAsia="zh-CN"/>
        </w:rPr>
        <w:t>根据现行规范调整消防泵启泵方式：消火栓、喷淋稳压管上增设流量开关，消火栓、喷淋泵出水干管上增设压力开关</w:t>
      </w:r>
      <w:r>
        <w:rPr>
          <w:rFonts w:hint="eastAsia" w:ascii="宋体" w:hAnsi="宋体" w:eastAsia="宋体" w:cs="宋体"/>
          <w:color w:val="C00000"/>
          <w:spacing w:val="-1"/>
          <w:sz w:val="24"/>
          <w:szCs w:val="24"/>
          <w:u w:val="single" w:color="FF0000"/>
        </w:rPr>
        <w:t>。</w:t>
      </w:r>
      <w:r>
        <w:rPr>
          <w:rFonts w:hint="eastAsia" w:ascii="宋体" w:hAnsi="宋体" w:eastAsia="宋体" w:cs="宋体"/>
          <w:b w:val="0"/>
          <w:bCs w:val="0"/>
          <w:color w:val="C00000"/>
          <w:spacing w:val="-5"/>
          <w:sz w:val="24"/>
          <w:szCs w:val="24"/>
          <w:u w:val="single" w:color="auto"/>
          <w:lang w:val="en-US" w:eastAsia="zh-CN"/>
        </w:rPr>
        <w:t>（按现行标准）</w:t>
      </w:r>
      <w:r>
        <w:rPr>
          <w:rFonts w:hint="eastAsia" w:ascii="宋体" w:hAnsi="宋体" w:eastAsia="宋体" w:cs="宋体"/>
          <w:color w:val="FF0000"/>
          <w:sz w:val="18"/>
          <w:szCs w:val="18"/>
          <w:lang w:val="en-US" w:eastAsia="zh-CN"/>
        </w:rPr>
        <w:t>（注：注明系统调整、点位调整）</w:t>
      </w:r>
    </w:p>
    <w:p w14:paraId="725B4F9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p>
    <w:p w14:paraId="63676FE1">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4.2 消防灭火水源及消防用水量</w:t>
      </w:r>
    </w:p>
    <w:p w14:paraId="13D1767A">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color w:val="C00000"/>
          <w:spacing w:val="-2"/>
          <w:sz w:val="24"/>
          <w:szCs w:val="24"/>
        </w:rPr>
      </w:pPr>
      <w:r>
        <w:rPr>
          <w:rFonts w:hint="eastAsia" w:ascii="宋体" w:hAnsi="宋体" w:eastAsia="宋体" w:cs="宋体"/>
          <w:b/>
          <w:bCs/>
          <w:color w:val="C00000"/>
          <w:spacing w:val="-5"/>
          <w:sz w:val="24"/>
          <w:szCs w:val="24"/>
          <w:lang w:val="en-US" w:eastAsia="zh-CN"/>
        </w:rPr>
        <w:t>经复核符合原标准，按照苏住建消【2023】4号文第5.1.1条，建筑局部更新改造工程，消防给水系统可适用原标准。本次改造无需调整。</w:t>
      </w:r>
    </w:p>
    <w:p w14:paraId="1AE00C9E">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rPr>
        <w:t>4.2.1 本工程为</w:t>
      </w:r>
      <w:r>
        <w:rPr>
          <w:rFonts w:hint="eastAsia" w:ascii="宋体" w:hAnsi="宋体" w:eastAsia="宋体" w:cs="宋体"/>
          <w:color w:val="auto"/>
          <w:spacing w:val="47"/>
          <w:sz w:val="24"/>
          <w:szCs w:val="24"/>
          <w:u w:val="single" w:color="FF0000"/>
        </w:rPr>
        <w:t xml:space="preserve"> </w:t>
      </w:r>
      <w:r>
        <w:rPr>
          <w:rFonts w:hint="eastAsia" w:ascii="宋体" w:hAnsi="宋体" w:eastAsia="宋体" w:cs="宋体"/>
          <w:color w:val="auto"/>
          <w:spacing w:val="-3"/>
          <w:sz w:val="24"/>
          <w:szCs w:val="24"/>
          <w:u w:val="single" w:color="FF0000"/>
        </w:rPr>
        <w:t xml:space="preserve">多层商业建筑 </w:t>
      </w:r>
      <w:r>
        <w:rPr>
          <w:rFonts w:hint="eastAsia" w:ascii="宋体" w:hAnsi="宋体" w:eastAsia="宋体" w:cs="宋体"/>
          <w:color w:val="auto"/>
          <w:spacing w:val="-64"/>
          <w:sz w:val="24"/>
          <w:szCs w:val="24"/>
        </w:rPr>
        <w:t xml:space="preserve"> </w:t>
      </w:r>
      <w:r>
        <w:rPr>
          <w:rFonts w:hint="eastAsia" w:ascii="宋体" w:hAnsi="宋体" w:eastAsia="宋体" w:cs="宋体"/>
          <w:i/>
          <w:iCs/>
          <w:color w:val="auto"/>
          <w:spacing w:val="-3"/>
          <w:sz w:val="24"/>
          <w:szCs w:val="24"/>
        </w:rPr>
        <w:t>，</w:t>
      </w:r>
      <w:r>
        <w:rPr>
          <w:rFonts w:hint="eastAsia" w:ascii="宋体" w:hAnsi="宋体" w:eastAsia="宋体" w:cs="宋体"/>
          <w:color w:val="auto"/>
          <w:spacing w:val="-3"/>
          <w:sz w:val="24"/>
          <w:szCs w:val="24"/>
        </w:rPr>
        <w:t>按此进行室内、外消火栓系统设计。自动喷水灭火系统按中危险</w:t>
      </w:r>
      <w:r>
        <w:rPr>
          <w:rFonts w:hint="eastAsia" w:ascii="宋体" w:hAnsi="宋体" w:eastAsia="宋体" w:cs="宋体"/>
          <w:color w:val="auto"/>
          <w:spacing w:val="-3"/>
          <w:sz w:val="24"/>
          <w:szCs w:val="24"/>
          <w:u w:val="single" w:color="FF0000"/>
        </w:rPr>
        <w:t xml:space="preserve">   II   </w:t>
      </w:r>
      <w:r>
        <w:rPr>
          <w:rFonts w:hint="eastAsia" w:ascii="宋体" w:hAnsi="宋体" w:eastAsia="宋体" w:cs="宋体"/>
          <w:color w:val="auto"/>
          <w:spacing w:val="-82"/>
          <w:sz w:val="24"/>
          <w:szCs w:val="24"/>
        </w:rPr>
        <w:t xml:space="preserve"> </w:t>
      </w:r>
      <w:r>
        <w:rPr>
          <w:rFonts w:hint="eastAsia" w:ascii="宋体" w:hAnsi="宋体" w:eastAsia="宋体" w:cs="宋体"/>
          <w:color w:val="auto"/>
          <w:spacing w:val="-3"/>
          <w:sz w:val="24"/>
          <w:szCs w:val="24"/>
        </w:rPr>
        <w:t>级进行设计。</w:t>
      </w:r>
    </w:p>
    <w:p w14:paraId="0B1A7B8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4.2.2 现有消防给水设施</w:t>
      </w:r>
    </w:p>
    <w:p w14:paraId="6DA9576D">
      <w:pPr>
        <w:keepNext w:val="0"/>
        <w:keepLines/>
        <w:pageBreakBefore w:val="0"/>
        <w:wordWrap/>
        <w:topLinePunct w:val="0"/>
        <w:bidi w:val="0"/>
        <w:spacing w:line="288" w:lineRule="auto"/>
        <w:ind w:left="0" w:leftChars="0" w:right="0" w:rightChars="0" w:firstLine="436" w:firstLineChars="200"/>
        <w:jc w:val="left"/>
        <w:rPr>
          <w:rFonts w:hint="eastAsia" w:ascii="宋体" w:hAnsi="宋体" w:eastAsia="宋体" w:cs="宋体"/>
          <w:color w:val="auto"/>
          <w:sz w:val="24"/>
          <w:szCs w:val="24"/>
        </w:rPr>
      </w:pP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rPr>
        <w:t>有</w:t>
      </w:r>
      <w:r>
        <w:rPr>
          <w:rFonts w:hint="eastAsia" w:ascii="宋体" w:hAnsi="宋体" w:eastAsia="宋体" w:cs="宋体"/>
          <w:color w:val="auto"/>
          <w:spacing w:val="72"/>
          <w:sz w:val="24"/>
          <w:szCs w:val="24"/>
        </w:rPr>
        <w:t xml:space="preserve"> </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rPr>
        <w:t>无 两路市政进水</w:t>
      </w:r>
    </w:p>
    <w:p w14:paraId="0977ACD8">
      <w:pPr>
        <w:keepNext w:val="0"/>
        <w:keepLines/>
        <w:pageBreakBefore w:val="0"/>
        <w:wordWrap/>
        <w:topLinePunct w:val="0"/>
        <w:bidi w:val="0"/>
        <w:spacing w:line="288" w:lineRule="auto"/>
        <w:ind w:left="0" w:leftChars="0" w:right="0" w:rightChars="0" w:firstLine="484" w:firstLineChars="200"/>
        <w:jc w:val="left"/>
        <w:rPr>
          <w:rFonts w:hint="default"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消防水池：设置在</w:t>
      </w:r>
      <w:r>
        <w:rPr>
          <w:rFonts w:hint="eastAsia" w:ascii="宋体" w:hAnsi="宋体" w:eastAsia="宋体" w:cs="宋体"/>
          <w:color w:val="0D0D0D" w:themeColor="text1" w:themeTint="F2"/>
          <w:spacing w:val="1"/>
          <w:sz w:val="24"/>
          <w:szCs w:val="24"/>
          <w:u w:val="single" w:color="FF0000"/>
          <w:lang w:val="en-US" w:eastAsia="zh-CN"/>
          <w14:textFill>
            <w14:solidFill>
              <w14:schemeClr w14:val="tx1">
                <w14:lumMod w14:val="95000"/>
                <w14:lumOff w14:val="5000"/>
              </w14:schemeClr>
            </w14:solidFill>
          </w14:textFill>
        </w:rPr>
        <w:t xml:space="preserve"> 地下一</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 xml:space="preserve">层，消防水池最低有效水位距室外地面高差 </w:t>
      </w:r>
      <w:r>
        <w:rPr>
          <w:rFonts w:hint="eastAsia" w:ascii="宋体" w:hAnsi="宋体" w:eastAsia="宋体" w:cs="宋体"/>
          <w:color w:val="0D0D0D" w:themeColor="text1" w:themeTint="F2"/>
          <w:spacing w:val="1"/>
          <w:sz w:val="24"/>
          <w:szCs w:val="24"/>
          <w:u w:val="single" w:color="FF0000"/>
          <w:lang w:val="en-US" w:eastAsia="zh-CN"/>
          <w14:textFill>
            <w14:solidFill>
              <w14:schemeClr w14:val="tx1">
                <w14:lumMod w14:val="95000"/>
                <w14:lumOff w14:val="5000"/>
              </w14:schemeClr>
            </w14:solidFill>
          </w14:textFill>
        </w:rPr>
        <w:t xml:space="preserve">10.8  </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 xml:space="preserve">m，有效容积 </w:t>
      </w:r>
      <w:r>
        <w:rPr>
          <w:rFonts w:hint="eastAsia" w:ascii="宋体" w:hAnsi="宋体" w:eastAsia="宋体" w:cs="宋体"/>
          <w:color w:val="0D0D0D" w:themeColor="text1" w:themeTint="F2"/>
          <w:spacing w:val="1"/>
          <w:sz w:val="24"/>
          <w:szCs w:val="24"/>
          <w:u w:val="single" w:color="FF0000"/>
          <w:lang w:val="en-US" w:eastAsia="zh-CN"/>
          <w14:textFill>
            <w14:solidFill>
              <w14:schemeClr w14:val="tx1">
                <w14:lumMod w14:val="95000"/>
                <w14:lumOff w14:val="5000"/>
              </w14:schemeClr>
            </w14:solidFill>
          </w14:textFill>
        </w:rPr>
        <w:t>792</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 xml:space="preserve"> m³；</w:t>
      </w:r>
    </w:p>
    <w:p w14:paraId="75931616">
      <w:pPr>
        <w:keepNext w:val="0"/>
        <w:keepLines/>
        <w:pageBreakBefore w:val="0"/>
        <w:wordWrap/>
        <w:topLinePunct w:val="0"/>
        <w:bidi w:val="0"/>
        <w:spacing w:line="288" w:lineRule="auto"/>
        <w:ind w:left="0" w:leftChars="0" w:right="0" w:rightChars="0" w:firstLine="46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pacing w:val="-5"/>
          <w:sz w:val="24"/>
          <w:szCs w:val="24"/>
        </w:rPr>
        <w:t>高位消防水箱：位置在</w:t>
      </w:r>
      <w:r>
        <w:rPr>
          <w:rFonts w:hint="eastAsia" w:ascii="宋体" w:hAnsi="宋体" w:eastAsia="宋体" w:cs="宋体"/>
          <w:color w:val="auto"/>
          <w:spacing w:val="-5"/>
          <w:sz w:val="24"/>
          <w:szCs w:val="24"/>
          <w:u w:val="single" w:color="FF0000"/>
        </w:rPr>
        <w:t>屋顶</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，箱底标高</w:t>
      </w:r>
      <w:r>
        <w:rPr>
          <w:rFonts w:hint="eastAsia" w:ascii="宋体" w:hAnsi="宋体" w:eastAsia="宋体" w:cs="宋体"/>
          <w:color w:val="auto"/>
          <w:spacing w:val="-5"/>
          <w:sz w:val="24"/>
          <w:szCs w:val="24"/>
          <w:lang w:val="en-US" w:eastAsia="zh-CN"/>
        </w:rPr>
        <w:t xml:space="preserve"> </w:t>
      </w:r>
      <w:r>
        <w:rPr>
          <w:rFonts w:hint="eastAsia" w:ascii="宋体" w:hAnsi="宋体" w:eastAsia="宋体" w:cs="宋体"/>
          <w:color w:val="auto"/>
          <w:spacing w:val="-5"/>
          <w:sz w:val="24"/>
          <w:szCs w:val="24"/>
          <w:u w:val="single" w:color="FF0000"/>
        </w:rPr>
        <w:t xml:space="preserve">23.6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5"/>
          <w:sz w:val="24"/>
          <w:szCs w:val="24"/>
        </w:rPr>
        <w:t>、有效容积</w:t>
      </w:r>
      <w:r>
        <w:rPr>
          <w:rFonts w:hint="eastAsia" w:ascii="宋体" w:hAnsi="宋体" w:eastAsia="宋体" w:cs="宋体"/>
          <w:color w:val="auto"/>
          <w:spacing w:val="-5"/>
          <w:sz w:val="24"/>
          <w:szCs w:val="24"/>
          <w:u w:val="single" w:color="FF0000"/>
        </w:rPr>
        <w:t xml:space="preserve"> 18 </w:t>
      </w:r>
      <w:r>
        <w:rPr>
          <w:rFonts w:hint="eastAsia" w:ascii="宋体" w:hAnsi="宋体" w:eastAsia="宋体" w:cs="宋体"/>
          <w:color w:val="auto"/>
          <w:spacing w:val="-116"/>
          <w:sz w:val="24"/>
          <w:szCs w:val="24"/>
        </w:rPr>
        <w:t xml:space="preserve"> </w:t>
      </w:r>
      <w:r>
        <w:rPr>
          <w:rFonts w:hint="eastAsia" w:ascii="宋体" w:hAnsi="宋体" w:eastAsia="宋体" w:cs="宋体"/>
          <w:color w:val="auto"/>
          <w:spacing w:val="-5"/>
          <w:sz w:val="24"/>
          <w:szCs w:val="24"/>
        </w:rPr>
        <w:t>m³</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6"/>
          <w:sz w:val="24"/>
          <w:szCs w:val="24"/>
          <w:lang w:val="en-US" w:eastAsia="zh-CN"/>
        </w:rPr>
        <w:t>；</w:t>
      </w:r>
    </w:p>
    <w:p w14:paraId="2FC0A1DE">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室内消火栓泵：Q=</w:t>
      </w:r>
      <w:r>
        <w:rPr>
          <w:rFonts w:hint="eastAsia" w:ascii="宋体" w:hAnsi="宋体" w:eastAsia="宋体" w:cs="宋体"/>
          <w:color w:val="auto"/>
          <w:spacing w:val="-2"/>
          <w:sz w:val="24"/>
          <w:szCs w:val="24"/>
          <w:u w:val="single" w:color="FF0000"/>
        </w:rPr>
        <w:t xml:space="preserve">  20  </w:t>
      </w:r>
      <w:r>
        <w:rPr>
          <w:rFonts w:hint="eastAsia" w:ascii="宋体" w:hAnsi="宋体" w:eastAsia="宋体" w:cs="宋体"/>
          <w:color w:val="auto"/>
          <w:spacing w:val="-105"/>
          <w:sz w:val="24"/>
          <w:szCs w:val="24"/>
        </w:rPr>
        <w:t xml:space="preserve"> </w:t>
      </w:r>
      <w:r>
        <w:rPr>
          <w:rFonts w:hint="eastAsia" w:ascii="宋体" w:hAnsi="宋体" w:eastAsia="宋体" w:cs="宋体"/>
          <w:color w:val="auto"/>
          <w:spacing w:val="-2"/>
          <w:sz w:val="24"/>
          <w:szCs w:val="24"/>
        </w:rPr>
        <w:t>L/s, H=</w:t>
      </w:r>
      <w:r>
        <w:rPr>
          <w:rFonts w:hint="eastAsia" w:ascii="宋体" w:hAnsi="宋体" w:eastAsia="宋体" w:cs="宋体"/>
          <w:color w:val="auto"/>
          <w:spacing w:val="-2"/>
          <w:sz w:val="24"/>
          <w:szCs w:val="24"/>
          <w:u w:val="single" w:color="FF0000"/>
        </w:rPr>
        <w:t xml:space="preserve">   72 </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117"/>
          <w:sz w:val="24"/>
          <w:szCs w:val="24"/>
        </w:rPr>
        <w:t xml:space="preserve"> </w:t>
      </w:r>
      <w:r>
        <w:rPr>
          <w:rFonts w:hint="eastAsia" w:ascii="宋体" w:hAnsi="宋体" w:eastAsia="宋体" w:cs="宋体"/>
          <w:color w:val="auto"/>
          <w:spacing w:val="-3"/>
          <w:sz w:val="24"/>
          <w:szCs w:val="24"/>
        </w:rPr>
        <w:t>m，</w:t>
      </w:r>
      <w:r>
        <w:rPr>
          <w:rFonts w:hint="eastAsia" w:ascii="宋体" w:hAnsi="宋体" w:eastAsia="宋体" w:cs="宋体"/>
          <w:color w:val="auto"/>
          <w:spacing w:val="-3"/>
          <w:sz w:val="24"/>
          <w:szCs w:val="24"/>
          <w:u w:val="single" w:color="FF0000"/>
        </w:rPr>
        <w:t xml:space="preserve">  2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3"/>
          <w:sz w:val="24"/>
          <w:szCs w:val="24"/>
        </w:rPr>
        <w:t>台，互为备用；</w:t>
      </w:r>
    </w:p>
    <w:p w14:paraId="67A1D84A">
      <w:pPr>
        <w:keepNext w:val="0"/>
        <w:keepLines/>
        <w:pageBreakBefore w:val="0"/>
        <w:wordWrap/>
        <w:topLinePunct w:val="0"/>
        <w:bidi w:val="0"/>
        <w:spacing w:line="288" w:lineRule="auto"/>
        <w:ind w:left="0" w:leftChars="0" w:right="0" w:rightChars="0" w:firstLine="460" w:firstLineChars="200"/>
        <w:jc w:val="left"/>
        <w:rPr>
          <w:rFonts w:hint="eastAsia" w:ascii="宋体" w:hAnsi="宋体" w:eastAsia="宋体" w:cs="宋体"/>
          <w:color w:val="auto"/>
          <w:sz w:val="24"/>
          <w:szCs w:val="24"/>
        </w:rPr>
      </w:pPr>
      <w:r>
        <w:rPr>
          <w:rFonts w:hint="eastAsia" w:ascii="宋体" w:hAnsi="宋体" w:eastAsia="宋体" w:cs="宋体"/>
          <w:color w:val="auto"/>
          <w:spacing w:val="-5"/>
          <w:sz w:val="24"/>
          <w:szCs w:val="24"/>
        </w:rPr>
        <w:t>喷淋泵：Q=</w:t>
      </w:r>
      <w:r>
        <w:rPr>
          <w:rFonts w:hint="eastAsia" w:ascii="宋体" w:hAnsi="宋体" w:eastAsia="宋体" w:cs="宋体"/>
          <w:color w:val="auto"/>
          <w:spacing w:val="-5"/>
          <w:sz w:val="24"/>
          <w:szCs w:val="24"/>
          <w:u w:val="single" w:color="FF0000"/>
        </w:rPr>
        <w:t xml:space="preserve">  69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5"/>
          <w:sz w:val="24"/>
          <w:szCs w:val="24"/>
        </w:rPr>
        <w:t>L/s,H=</w:t>
      </w:r>
      <w:r>
        <w:rPr>
          <w:rFonts w:hint="eastAsia" w:ascii="宋体" w:hAnsi="宋体" w:eastAsia="宋体" w:cs="宋体"/>
          <w:color w:val="auto"/>
          <w:spacing w:val="-5"/>
          <w:sz w:val="24"/>
          <w:szCs w:val="24"/>
          <w:u w:val="single" w:color="FF0000"/>
        </w:rPr>
        <w:t xml:space="preserve"> 75    </w:t>
      </w:r>
      <w:r>
        <w:rPr>
          <w:rFonts w:hint="eastAsia" w:ascii="宋体" w:hAnsi="宋体" w:eastAsia="宋体" w:cs="宋体"/>
          <w:color w:val="auto"/>
          <w:spacing w:val="-5"/>
          <w:sz w:val="24"/>
          <w:szCs w:val="24"/>
        </w:rPr>
        <w:t>m，</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5"/>
          <w:sz w:val="24"/>
          <w:szCs w:val="24"/>
          <w:u w:val="single" w:color="FF0000"/>
        </w:rPr>
        <w:t>2</w:t>
      </w:r>
      <w:r>
        <w:rPr>
          <w:rFonts w:hint="eastAsia" w:ascii="宋体" w:hAnsi="宋体" w:eastAsia="宋体" w:cs="宋体"/>
          <w:color w:val="auto"/>
          <w:spacing w:val="36"/>
          <w:sz w:val="24"/>
          <w:szCs w:val="24"/>
          <w:u w:val="single" w:color="FF0000"/>
        </w:rPr>
        <w:t xml:space="preserve">  </w:t>
      </w:r>
      <w:r>
        <w:rPr>
          <w:rFonts w:hint="eastAsia" w:ascii="宋体" w:hAnsi="宋体" w:eastAsia="宋体" w:cs="宋体"/>
          <w:color w:val="auto"/>
          <w:spacing w:val="-5"/>
          <w:sz w:val="24"/>
          <w:szCs w:val="24"/>
        </w:rPr>
        <w:t>台，互为备用；</w:t>
      </w:r>
    </w:p>
    <w:p w14:paraId="62E4F5ED">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rPr>
        <w:t>有 □无 流量开关设置</w:t>
      </w:r>
      <w:r>
        <w:rPr>
          <w:rFonts w:hint="eastAsia" w:ascii="宋体" w:hAnsi="宋体" w:eastAsia="宋体" w:cs="宋体"/>
          <w:color w:val="auto"/>
          <w:spacing w:val="-2"/>
          <w:sz w:val="24"/>
          <w:szCs w:val="24"/>
          <w:u w:val="single" w:color="FF0000"/>
          <w:lang w:eastAsia="zh-CN"/>
        </w:rPr>
        <w:t>（</w:t>
      </w:r>
      <w:r>
        <w:rPr>
          <w:rFonts w:hint="eastAsia" w:ascii="宋体" w:hAnsi="宋体" w:eastAsia="宋体" w:cs="宋体"/>
          <w:color w:val="auto"/>
          <w:spacing w:val="-2"/>
          <w:sz w:val="24"/>
          <w:szCs w:val="24"/>
          <w:u w:val="single" w:color="FF0000"/>
          <w:lang w:val="en-US" w:eastAsia="zh-CN"/>
        </w:rPr>
        <w:t>本次新增</w:t>
      </w:r>
      <w:r>
        <w:rPr>
          <w:rFonts w:hint="eastAsia" w:ascii="宋体" w:hAnsi="宋体" w:eastAsia="宋体" w:cs="宋体"/>
          <w:color w:val="auto"/>
          <w:spacing w:val="-2"/>
          <w:sz w:val="24"/>
          <w:szCs w:val="24"/>
          <w:u w:val="single" w:color="FF0000"/>
          <w:lang w:eastAsia="zh-CN"/>
        </w:rPr>
        <w:t>）</w:t>
      </w: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rPr>
        <w:t xml:space="preserve">有 </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rPr>
        <w:t>无 压力</w:t>
      </w:r>
      <w:r>
        <w:rPr>
          <w:rFonts w:hint="eastAsia" w:ascii="宋体" w:hAnsi="宋体" w:eastAsia="宋体" w:cs="宋体"/>
          <w:color w:val="auto"/>
          <w:spacing w:val="-2"/>
          <w:sz w:val="24"/>
          <w:szCs w:val="24"/>
          <w:lang w:val="en-US" w:eastAsia="zh-CN"/>
        </w:rPr>
        <w:t>开</w:t>
      </w:r>
      <w:r>
        <w:rPr>
          <w:rFonts w:hint="eastAsia" w:ascii="宋体" w:hAnsi="宋体" w:eastAsia="宋体" w:cs="宋体"/>
          <w:color w:val="auto"/>
          <w:spacing w:val="-2"/>
          <w:sz w:val="24"/>
          <w:szCs w:val="24"/>
        </w:rPr>
        <w:t>关设置</w:t>
      </w:r>
      <w:r>
        <w:rPr>
          <w:rFonts w:hint="eastAsia" w:ascii="宋体" w:hAnsi="宋体" w:eastAsia="宋体" w:cs="宋体"/>
          <w:color w:val="auto"/>
          <w:spacing w:val="-2"/>
          <w:sz w:val="24"/>
          <w:szCs w:val="24"/>
          <w:u w:val="single" w:color="FF0000"/>
          <w:lang w:eastAsia="zh-CN"/>
        </w:rPr>
        <w:t>（</w:t>
      </w:r>
      <w:r>
        <w:rPr>
          <w:rFonts w:hint="eastAsia" w:ascii="宋体" w:hAnsi="宋体" w:eastAsia="宋体" w:cs="宋体"/>
          <w:color w:val="auto"/>
          <w:spacing w:val="-2"/>
          <w:sz w:val="24"/>
          <w:szCs w:val="24"/>
          <w:u w:val="single" w:color="FF0000"/>
          <w:lang w:val="en-US" w:eastAsia="zh-CN"/>
        </w:rPr>
        <w:t>本次新增</w:t>
      </w:r>
      <w:r>
        <w:rPr>
          <w:rFonts w:hint="eastAsia" w:ascii="宋体" w:hAnsi="宋体" w:eastAsia="宋体" w:cs="宋体"/>
          <w:color w:val="auto"/>
          <w:spacing w:val="-2"/>
          <w:sz w:val="24"/>
          <w:szCs w:val="24"/>
          <w:u w:val="single" w:color="FF0000"/>
          <w:lang w:eastAsia="zh-CN"/>
        </w:rPr>
        <w:t>）</w:t>
      </w:r>
      <w:r>
        <w:rPr>
          <w:rFonts w:hint="eastAsia" w:ascii="宋体" w:hAnsi="宋体" w:eastAsia="宋体" w:cs="宋体"/>
          <w:color w:val="auto"/>
          <w:spacing w:val="-2"/>
          <w:sz w:val="24"/>
          <w:szCs w:val="24"/>
        </w:rPr>
        <w:t>。</w:t>
      </w:r>
    </w:p>
    <w:p w14:paraId="5531C58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4.2.3 改造项目消防水量：本工程消防用水量按需要同时作用的室内外消防给水用水量之和计算，两座及以上建筑合用时，取最大者，计算如下表 </w:t>
      </w:r>
    </w:p>
    <w:p w14:paraId="5D54A5C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pacing w:val="9"/>
          <w:sz w:val="22"/>
          <w:szCs w:val="22"/>
        </w:rPr>
        <w:t>表 4.2.3</w:t>
      </w:r>
      <w:r>
        <w:rPr>
          <w:rFonts w:hint="eastAsia" w:ascii="宋体" w:hAnsi="宋体" w:eastAsia="宋体" w:cs="宋体"/>
          <w:color w:val="auto"/>
          <w:spacing w:val="-81"/>
          <w:sz w:val="22"/>
          <w:szCs w:val="22"/>
        </w:rPr>
        <w:t xml:space="preserve"> </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2"/>
          <w:sz w:val="22"/>
          <w:szCs w:val="22"/>
          <w:u w:val="single"/>
          <w:lang w:val="en-US" w:eastAsia="zh-CN"/>
        </w:rPr>
        <w:t>室内外</w:t>
      </w:r>
      <w:r>
        <w:rPr>
          <w:rFonts w:hint="eastAsia" w:ascii="宋体" w:hAnsi="宋体" w:eastAsia="宋体" w:cs="宋体"/>
          <w:color w:val="auto"/>
          <w:spacing w:val="2"/>
          <w:sz w:val="22"/>
          <w:szCs w:val="22"/>
          <w:u w:val="single"/>
        </w:rPr>
        <w:t xml:space="preserve"> </w:t>
      </w:r>
      <w:r>
        <w:rPr>
          <w:rFonts w:hint="eastAsia" w:ascii="宋体" w:hAnsi="宋体" w:eastAsia="宋体" w:cs="宋体"/>
          <w:color w:val="auto"/>
          <w:spacing w:val="-82"/>
          <w:sz w:val="22"/>
          <w:szCs w:val="22"/>
        </w:rPr>
        <w:t xml:space="preserve"> </w:t>
      </w:r>
      <w:r>
        <w:rPr>
          <w:rFonts w:hint="eastAsia" w:ascii="宋体" w:hAnsi="宋体" w:eastAsia="宋体" w:cs="宋体"/>
          <w:color w:val="auto"/>
          <w:spacing w:val="9"/>
          <w:sz w:val="22"/>
          <w:szCs w:val="22"/>
        </w:rPr>
        <w:t>消防水量计算</w:t>
      </w:r>
    </w:p>
    <w:tbl>
      <w:tblPr>
        <w:tblStyle w:val="15"/>
        <w:tblW w:w="86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8"/>
        <w:gridCol w:w="960"/>
        <w:gridCol w:w="571"/>
        <w:gridCol w:w="614"/>
        <w:gridCol w:w="1710"/>
        <w:gridCol w:w="615"/>
        <w:gridCol w:w="795"/>
        <w:gridCol w:w="840"/>
        <w:gridCol w:w="1925"/>
      </w:tblGrid>
      <w:tr w14:paraId="63B6A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598" w:type="dxa"/>
            <w:vAlign w:val="center"/>
          </w:tcPr>
          <w:p w14:paraId="3F216555">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编号</w:t>
            </w:r>
          </w:p>
        </w:tc>
        <w:tc>
          <w:tcPr>
            <w:tcW w:w="1531" w:type="dxa"/>
            <w:gridSpan w:val="2"/>
            <w:vAlign w:val="center"/>
          </w:tcPr>
          <w:p w14:paraId="4BB376F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系统类别</w:t>
            </w:r>
          </w:p>
        </w:tc>
        <w:tc>
          <w:tcPr>
            <w:tcW w:w="614" w:type="dxa"/>
            <w:vAlign w:val="center"/>
          </w:tcPr>
          <w:p w14:paraId="521B243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0"/>
                <w:sz w:val="21"/>
                <w:szCs w:val="21"/>
              </w:rPr>
              <w:t>火灾危</w:t>
            </w:r>
            <w:r>
              <w:rPr>
                <w:rFonts w:hint="eastAsia" w:ascii="宋体" w:hAnsi="宋体" w:eastAsia="宋体" w:cs="宋体"/>
                <w:color w:val="auto"/>
                <w:spacing w:val="5"/>
                <w:sz w:val="21"/>
                <w:szCs w:val="21"/>
              </w:rPr>
              <w:t>险等级</w:t>
            </w:r>
          </w:p>
        </w:tc>
        <w:tc>
          <w:tcPr>
            <w:tcW w:w="1710" w:type="dxa"/>
            <w:vAlign w:val="center"/>
          </w:tcPr>
          <w:p w14:paraId="7E76036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r>
              <w:rPr>
                <w:rFonts w:hint="eastAsia" w:ascii="宋体" w:hAnsi="宋体" w:eastAsia="宋体" w:cs="宋体"/>
                <w:color w:val="auto"/>
                <w:spacing w:val="10"/>
                <w:sz w:val="21"/>
                <w:szCs w:val="21"/>
                <w:lang w:eastAsia="zh-CN"/>
              </w:rPr>
              <w:t>作用面积（㎡）</w:t>
            </w:r>
            <w:r>
              <w:rPr>
                <w:rFonts w:hint="eastAsia" w:ascii="宋体" w:hAnsi="宋体" w:eastAsia="宋体" w:cs="宋体"/>
                <w:color w:val="auto"/>
                <w:spacing w:val="9"/>
                <w:sz w:val="21"/>
                <w:szCs w:val="21"/>
                <w:lang w:eastAsia="zh-CN"/>
              </w:rPr>
              <w:t>喷水强度</w:t>
            </w:r>
          </w:p>
          <w:p w14:paraId="0D3A50D0">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3"/>
                <w:sz w:val="21"/>
                <w:szCs w:val="21"/>
              </w:rPr>
              <w:t>（L/min·㎡）</w:t>
            </w:r>
          </w:p>
        </w:tc>
        <w:tc>
          <w:tcPr>
            <w:tcW w:w="615" w:type="dxa"/>
            <w:vAlign w:val="center"/>
          </w:tcPr>
          <w:p w14:paraId="59D074C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火灾延续</w:t>
            </w:r>
            <w:r>
              <w:rPr>
                <w:rFonts w:hint="eastAsia" w:ascii="宋体" w:hAnsi="宋体" w:eastAsia="宋体" w:cs="宋体"/>
                <w:color w:val="auto"/>
                <w:sz w:val="21"/>
                <w:szCs w:val="21"/>
              </w:rPr>
              <w:t>时间</w:t>
            </w:r>
          </w:p>
          <w:p w14:paraId="2869175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（h）</w:t>
            </w:r>
          </w:p>
        </w:tc>
        <w:tc>
          <w:tcPr>
            <w:tcW w:w="795" w:type="dxa"/>
            <w:vAlign w:val="center"/>
          </w:tcPr>
          <w:p w14:paraId="21B59CB0">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0"/>
                <w:sz w:val="21"/>
                <w:szCs w:val="21"/>
              </w:rPr>
              <w:t>用水量</w:t>
            </w:r>
          </w:p>
          <w:p w14:paraId="0E2F22D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标准</w:t>
            </w:r>
          </w:p>
          <w:p w14:paraId="649B191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（L/s）</w:t>
            </w:r>
          </w:p>
        </w:tc>
        <w:tc>
          <w:tcPr>
            <w:tcW w:w="840" w:type="dxa"/>
            <w:vAlign w:val="center"/>
          </w:tcPr>
          <w:p w14:paraId="17AE626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pacing w:val="1"/>
                <w:sz w:val="21"/>
                <w:szCs w:val="21"/>
              </w:rPr>
            </w:pPr>
            <w:r>
              <w:rPr>
                <w:rFonts w:hint="eastAsia" w:ascii="宋体" w:hAnsi="宋体" w:eastAsia="宋体" w:cs="宋体"/>
                <w:color w:val="auto"/>
                <w:spacing w:val="10"/>
                <w:sz w:val="21"/>
                <w:szCs w:val="21"/>
              </w:rPr>
              <w:t>用水量</w:t>
            </w:r>
          </w:p>
          <w:p w14:paraId="00E24E28">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微软雅黑" w:hAnsi="微软雅黑" w:eastAsia="微软雅黑" w:cs="微软雅黑"/>
                <w:color w:val="auto"/>
                <w:sz w:val="21"/>
                <w:szCs w:val="21"/>
                <w:lang w:eastAsia="zh-CN"/>
              </w:rPr>
              <w:t>m³</w:t>
            </w:r>
            <w:r>
              <w:rPr>
                <w:rFonts w:hint="eastAsia" w:ascii="宋体" w:hAnsi="宋体" w:eastAsia="宋体" w:cs="宋体"/>
                <w:color w:val="auto"/>
                <w:spacing w:val="-54"/>
                <w:sz w:val="21"/>
                <w:szCs w:val="21"/>
              </w:rPr>
              <w:t xml:space="preserve"> </w:t>
            </w:r>
            <w:r>
              <w:rPr>
                <w:rFonts w:hint="eastAsia" w:ascii="宋体" w:hAnsi="宋体" w:eastAsia="宋体" w:cs="宋体"/>
                <w:color w:val="auto"/>
                <w:sz w:val="21"/>
                <w:szCs w:val="21"/>
              </w:rPr>
              <w:t>)</w:t>
            </w:r>
          </w:p>
        </w:tc>
        <w:tc>
          <w:tcPr>
            <w:tcW w:w="1925" w:type="dxa"/>
            <w:vAlign w:val="center"/>
          </w:tcPr>
          <w:p w14:paraId="1F04984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p w14:paraId="1E01989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备注(</w:t>
            </w:r>
            <w:r>
              <w:rPr>
                <w:rFonts w:hint="eastAsia" w:ascii="宋体" w:hAnsi="宋体" w:eastAsia="宋体" w:cs="宋体"/>
                <w:color w:val="auto"/>
                <w:spacing w:val="67"/>
                <w:sz w:val="21"/>
                <w:szCs w:val="21"/>
              </w:rPr>
              <w:t xml:space="preserve"> </w:t>
            </w:r>
            <w:r>
              <w:rPr>
                <w:rFonts w:hint="eastAsia" w:ascii="宋体" w:hAnsi="宋体" w:eastAsia="宋体" w:cs="宋体"/>
                <w:color w:val="auto"/>
                <w:spacing w:val="-1"/>
                <w:sz w:val="21"/>
                <w:szCs w:val="21"/>
              </w:rPr>
              <w:t>√选）</w:t>
            </w:r>
          </w:p>
        </w:tc>
      </w:tr>
      <w:tr w14:paraId="654F2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5D1F7B92">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①</w:t>
            </w:r>
          </w:p>
        </w:tc>
        <w:tc>
          <w:tcPr>
            <w:tcW w:w="1531" w:type="dxa"/>
            <w:gridSpan w:val="2"/>
            <w:vAlign w:val="center"/>
          </w:tcPr>
          <w:p w14:paraId="1A33706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3"/>
                <w:sz w:val="21"/>
                <w:szCs w:val="21"/>
              </w:rPr>
              <w:t>室外消火栓</w:t>
            </w:r>
          </w:p>
        </w:tc>
        <w:tc>
          <w:tcPr>
            <w:tcW w:w="614" w:type="dxa"/>
            <w:vAlign w:val="center"/>
          </w:tcPr>
          <w:p w14:paraId="5E07991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5934594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2BC429A6">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95" w:type="dxa"/>
            <w:vAlign w:val="center"/>
          </w:tcPr>
          <w:p w14:paraId="37BB9E0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840" w:type="dxa"/>
            <w:vAlign w:val="center"/>
          </w:tcPr>
          <w:p w14:paraId="28FBD49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216</w:t>
            </w:r>
          </w:p>
        </w:tc>
        <w:tc>
          <w:tcPr>
            <w:tcW w:w="1925" w:type="dxa"/>
            <w:vAlign w:val="center"/>
          </w:tcPr>
          <w:p w14:paraId="269A1A7F">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3"/>
                <w:sz w:val="21"/>
                <w:szCs w:val="21"/>
              </w:rPr>
              <w:t>市政直供</w:t>
            </w:r>
          </w:p>
        </w:tc>
      </w:tr>
      <w:tr w14:paraId="05F94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50D7E846">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p w14:paraId="0520151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②</w:t>
            </w:r>
          </w:p>
        </w:tc>
        <w:tc>
          <w:tcPr>
            <w:tcW w:w="1531" w:type="dxa"/>
            <w:gridSpan w:val="2"/>
            <w:vAlign w:val="center"/>
          </w:tcPr>
          <w:p w14:paraId="02EF69B8">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3"/>
                <w:sz w:val="21"/>
                <w:szCs w:val="21"/>
              </w:rPr>
              <w:t>室内消火栓</w:t>
            </w:r>
          </w:p>
        </w:tc>
        <w:tc>
          <w:tcPr>
            <w:tcW w:w="614" w:type="dxa"/>
            <w:vAlign w:val="center"/>
          </w:tcPr>
          <w:p w14:paraId="0C9B15B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4C1A697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68B0A34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2</w:t>
            </w:r>
          </w:p>
        </w:tc>
        <w:tc>
          <w:tcPr>
            <w:tcW w:w="795" w:type="dxa"/>
            <w:vAlign w:val="center"/>
          </w:tcPr>
          <w:p w14:paraId="6EF439A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840" w:type="dxa"/>
            <w:vAlign w:val="center"/>
          </w:tcPr>
          <w:p w14:paraId="2ADCF34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144</w:t>
            </w:r>
          </w:p>
        </w:tc>
        <w:tc>
          <w:tcPr>
            <w:tcW w:w="1925" w:type="dxa"/>
            <w:vAlign w:val="center"/>
          </w:tcPr>
          <w:p w14:paraId="762BFEFF">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both"/>
              <w:textAlignment w:val="baseline"/>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rPr>
              <w:t>市政直供</w:t>
            </w:r>
          </w:p>
          <w:p w14:paraId="5DE1BB4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both"/>
              <w:textAlignment w:val="baseline"/>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lang w:val="en-US" w:eastAsia="zh-CN"/>
              </w:rPr>
              <w:t>消防水池储存</w:t>
            </w:r>
          </w:p>
        </w:tc>
      </w:tr>
      <w:tr w14:paraId="2895D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1B95E2E6">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p w14:paraId="0589F97B">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③</w:t>
            </w:r>
          </w:p>
        </w:tc>
        <w:tc>
          <w:tcPr>
            <w:tcW w:w="960" w:type="dxa"/>
            <w:vAlign w:val="center"/>
          </w:tcPr>
          <w:p w14:paraId="502757C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pacing w:val="-8"/>
                <w:sz w:val="21"/>
                <w:szCs w:val="21"/>
              </w:rPr>
              <w:t>自动喷</w:t>
            </w:r>
            <w:r>
              <w:rPr>
                <w:rFonts w:hint="eastAsia" w:ascii="宋体" w:hAnsi="宋体" w:eastAsia="宋体" w:cs="宋体"/>
                <w:color w:val="auto"/>
                <w:spacing w:val="10"/>
                <w:sz w:val="21"/>
                <w:szCs w:val="21"/>
              </w:rPr>
              <w:t>水灭火</w:t>
            </w:r>
            <w:r>
              <w:rPr>
                <w:rFonts w:hint="eastAsia" w:ascii="宋体" w:hAnsi="宋体" w:eastAsia="宋体" w:cs="宋体"/>
                <w:color w:val="auto"/>
                <w:spacing w:val="4"/>
                <w:sz w:val="21"/>
                <w:szCs w:val="21"/>
              </w:rPr>
              <w:t>系</w:t>
            </w:r>
            <w:r>
              <w:rPr>
                <w:rFonts w:hint="eastAsia" w:ascii="宋体" w:hAnsi="宋体" w:eastAsia="宋体" w:cs="宋体"/>
                <w:color w:val="auto"/>
                <w:spacing w:val="4"/>
                <w:sz w:val="21"/>
                <w:szCs w:val="21"/>
                <w:lang w:val="en-US" w:eastAsia="zh-CN"/>
              </w:rPr>
              <w:t>统</w:t>
            </w:r>
          </w:p>
        </w:tc>
        <w:tc>
          <w:tcPr>
            <w:tcW w:w="571" w:type="dxa"/>
            <w:vAlign w:val="center"/>
          </w:tcPr>
          <w:p w14:paraId="3CCD5F4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4"/>
                <w:sz w:val="21"/>
                <w:szCs w:val="21"/>
              </w:rPr>
              <w:t>商业</w:t>
            </w:r>
          </w:p>
        </w:tc>
        <w:tc>
          <w:tcPr>
            <w:tcW w:w="614" w:type="dxa"/>
            <w:vAlign w:val="center"/>
          </w:tcPr>
          <w:p w14:paraId="2B64E6B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1489C7A6">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3C7D0F9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95" w:type="dxa"/>
            <w:vAlign w:val="center"/>
          </w:tcPr>
          <w:p w14:paraId="60A478E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840" w:type="dxa"/>
            <w:vAlign w:val="center"/>
          </w:tcPr>
          <w:p w14:paraId="4841D8C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126</w:t>
            </w:r>
          </w:p>
        </w:tc>
        <w:tc>
          <w:tcPr>
            <w:tcW w:w="1925" w:type="dxa"/>
            <w:vAlign w:val="center"/>
          </w:tcPr>
          <w:p w14:paraId="3F9CB95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both"/>
              <w:textAlignment w:val="baseline"/>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rPr>
              <w:t>市政直供</w:t>
            </w:r>
          </w:p>
          <w:p w14:paraId="0729A1A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lang w:eastAsia="zh-CN"/>
              </w:rPr>
              <w:t>☑</w:t>
            </w:r>
            <w:r>
              <w:rPr>
                <w:rFonts w:hint="eastAsia" w:ascii="宋体" w:hAnsi="宋体" w:eastAsia="宋体" w:cs="宋体"/>
                <w:color w:val="auto"/>
                <w:spacing w:val="6"/>
                <w:sz w:val="21"/>
                <w:szCs w:val="21"/>
                <w:lang w:val="en-US" w:eastAsia="zh-CN"/>
              </w:rPr>
              <w:t>消防水池储存</w:t>
            </w:r>
          </w:p>
        </w:tc>
      </w:tr>
      <w:tr w14:paraId="7438B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10D8994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p w14:paraId="42B57BF5">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④</w:t>
            </w:r>
          </w:p>
        </w:tc>
        <w:tc>
          <w:tcPr>
            <w:tcW w:w="1531" w:type="dxa"/>
            <w:gridSpan w:val="2"/>
            <w:vAlign w:val="center"/>
          </w:tcPr>
          <w:p w14:paraId="1036467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lang w:eastAsia="zh-CN"/>
              </w:rPr>
            </w:pPr>
            <w:r>
              <w:rPr>
                <w:rFonts w:hint="eastAsia" w:ascii="宋体" w:hAnsi="宋体" w:eastAsia="宋体" w:cs="宋体"/>
                <w:color w:val="auto"/>
                <w:spacing w:val="2"/>
                <w:sz w:val="21"/>
                <w:szCs w:val="21"/>
                <w:lang w:eastAsia="zh-CN"/>
              </w:rPr>
              <w:t>自动跟踪定</w:t>
            </w:r>
            <w:r>
              <w:rPr>
                <w:rFonts w:hint="eastAsia" w:ascii="宋体" w:hAnsi="宋体" w:eastAsia="宋体" w:cs="宋体"/>
                <w:color w:val="auto"/>
                <w:spacing w:val="14"/>
                <w:sz w:val="21"/>
                <w:szCs w:val="21"/>
                <w:lang w:eastAsia="zh-CN"/>
              </w:rPr>
              <w:t>位射流灭火</w:t>
            </w:r>
            <w:r>
              <w:rPr>
                <w:rFonts w:hint="eastAsia" w:ascii="宋体" w:hAnsi="宋体" w:eastAsia="宋体" w:cs="宋体"/>
                <w:color w:val="auto"/>
                <w:spacing w:val="4"/>
                <w:sz w:val="21"/>
                <w:szCs w:val="21"/>
                <w:lang w:eastAsia="zh-CN"/>
              </w:rPr>
              <w:t>系统</w:t>
            </w:r>
          </w:p>
        </w:tc>
        <w:tc>
          <w:tcPr>
            <w:tcW w:w="614" w:type="dxa"/>
            <w:vAlign w:val="center"/>
          </w:tcPr>
          <w:p w14:paraId="37478F7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184F336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627D424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795" w:type="dxa"/>
            <w:vAlign w:val="center"/>
          </w:tcPr>
          <w:p w14:paraId="2EFB86B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840" w:type="dxa"/>
            <w:vAlign w:val="center"/>
          </w:tcPr>
          <w:p w14:paraId="070B4ED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925" w:type="dxa"/>
            <w:vAlign w:val="center"/>
          </w:tcPr>
          <w:p w14:paraId="28832EE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39BDE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6D6C39E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⑤</w:t>
            </w:r>
          </w:p>
        </w:tc>
        <w:tc>
          <w:tcPr>
            <w:tcW w:w="1531" w:type="dxa"/>
            <w:gridSpan w:val="2"/>
            <w:vAlign w:val="center"/>
          </w:tcPr>
          <w:p w14:paraId="7F3B946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防护冷却</w:t>
            </w:r>
            <w:r>
              <w:rPr>
                <w:rFonts w:hint="eastAsia" w:ascii="宋体" w:hAnsi="宋体" w:eastAsia="宋体" w:cs="宋体"/>
                <w:color w:val="auto"/>
                <w:spacing w:val="4"/>
                <w:sz w:val="21"/>
                <w:szCs w:val="21"/>
              </w:rPr>
              <w:t>系统</w:t>
            </w:r>
          </w:p>
        </w:tc>
        <w:tc>
          <w:tcPr>
            <w:tcW w:w="614" w:type="dxa"/>
            <w:vAlign w:val="center"/>
          </w:tcPr>
          <w:p w14:paraId="5306A72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2B1A012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567E19C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795" w:type="dxa"/>
            <w:vAlign w:val="center"/>
          </w:tcPr>
          <w:p w14:paraId="4B298D4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840" w:type="dxa"/>
            <w:vAlign w:val="center"/>
          </w:tcPr>
          <w:p w14:paraId="7AE3A76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925" w:type="dxa"/>
            <w:vAlign w:val="center"/>
          </w:tcPr>
          <w:p w14:paraId="33E766C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3BC5C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19DDF971">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2"/>
                <w:sz w:val="21"/>
                <w:szCs w:val="21"/>
              </w:rPr>
              <w:t>⑥</w:t>
            </w:r>
          </w:p>
        </w:tc>
        <w:tc>
          <w:tcPr>
            <w:tcW w:w="1531" w:type="dxa"/>
            <w:gridSpan w:val="2"/>
            <w:vAlign w:val="center"/>
          </w:tcPr>
          <w:p w14:paraId="5950C5F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其他</w:t>
            </w:r>
          </w:p>
        </w:tc>
        <w:tc>
          <w:tcPr>
            <w:tcW w:w="614" w:type="dxa"/>
            <w:vAlign w:val="center"/>
          </w:tcPr>
          <w:p w14:paraId="2C2AFFA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710" w:type="dxa"/>
            <w:vAlign w:val="center"/>
          </w:tcPr>
          <w:p w14:paraId="7AA2F76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615" w:type="dxa"/>
            <w:vAlign w:val="center"/>
          </w:tcPr>
          <w:p w14:paraId="2427E84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795" w:type="dxa"/>
            <w:vAlign w:val="center"/>
          </w:tcPr>
          <w:p w14:paraId="1428770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840" w:type="dxa"/>
            <w:vAlign w:val="center"/>
          </w:tcPr>
          <w:p w14:paraId="3966C19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925" w:type="dxa"/>
            <w:vAlign w:val="center"/>
          </w:tcPr>
          <w:p w14:paraId="01CF5F9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r>
      <w:tr w14:paraId="21847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98" w:type="dxa"/>
            <w:vAlign w:val="center"/>
          </w:tcPr>
          <w:p w14:paraId="67BAF09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531" w:type="dxa"/>
            <w:gridSpan w:val="2"/>
            <w:vAlign w:val="center"/>
          </w:tcPr>
          <w:p w14:paraId="30CA1BBB">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7"/>
                <w:sz w:val="21"/>
                <w:szCs w:val="21"/>
              </w:rPr>
              <w:t>合计</w:t>
            </w:r>
          </w:p>
        </w:tc>
        <w:tc>
          <w:tcPr>
            <w:tcW w:w="2939" w:type="dxa"/>
            <w:gridSpan w:val="3"/>
            <w:vAlign w:val="center"/>
          </w:tcPr>
          <w:p w14:paraId="4FA2222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795" w:type="dxa"/>
            <w:vAlign w:val="center"/>
          </w:tcPr>
          <w:p w14:paraId="2B9053C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840" w:type="dxa"/>
            <w:vAlign w:val="center"/>
          </w:tcPr>
          <w:p w14:paraId="7A682E4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p>
        </w:tc>
        <w:tc>
          <w:tcPr>
            <w:tcW w:w="1925" w:type="dxa"/>
            <w:vAlign w:val="center"/>
          </w:tcPr>
          <w:p w14:paraId="00F70CD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auto"/>
                <w:sz w:val="21"/>
                <w:szCs w:val="21"/>
              </w:rPr>
            </w:pPr>
            <w:r>
              <w:rPr>
                <w:rFonts w:hint="eastAsia" w:ascii="宋体" w:hAnsi="宋体" w:eastAsia="宋体" w:cs="宋体"/>
                <w:color w:val="auto"/>
                <w:spacing w:val="11"/>
                <w:sz w:val="21"/>
                <w:szCs w:val="21"/>
              </w:rPr>
              <w:t>水池储水</w:t>
            </w:r>
            <w:r>
              <w:rPr>
                <w:rFonts w:hint="eastAsia" w:ascii="宋体" w:hAnsi="宋体" w:eastAsia="宋体" w:cs="宋体"/>
                <w:color w:val="auto"/>
                <w:spacing w:val="-79"/>
                <w:sz w:val="21"/>
                <w:szCs w:val="21"/>
              </w:rPr>
              <w:t xml:space="preserve"> </w:t>
            </w:r>
            <w:r>
              <w:rPr>
                <w:rFonts w:hint="eastAsia" w:ascii="宋体" w:hAnsi="宋体" w:eastAsia="宋体" w:cs="宋体"/>
                <w:color w:val="auto"/>
                <w:spacing w:val="11"/>
                <w:sz w:val="21"/>
                <w:szCs w:val="21"/>
                <w:u w:val="single"/>
                <w:lang w:val="en-US" w:eastAsia="zh-CN"/>
              </w:rPr>
              <w:t xml:space="preserve">792 </w:t>
            </w:r>
            <w:r>
              <w:rPr>
                <w:rFonts w:hint="eastAsia" w:ascii="微软雅黑" w:hAnsi="微软雅黑" w:eastAsia="微软雅黑" w:cs="微软雅黑"/>
                <w:color w:val="auto"/>
                <w:spacing w:val="11"/>
                <w:sz w:val="21"/>
                <w:szCs w:val="21"/>
                <w:u w:val="none"/>
                <w:lang w:val="en-US" w:eastAsia="zh-CN"/>
              </w:rPr>
              <w:t>m³</w:t>
            </w:r>
          </w:p>
        </w:tc>
      </w:tr>
    </w:tbl>
    <w:p w14:paraId="58D38BD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2"/>
          <w:szCs w:val="22"/>
        </w:rPr>
      </w:pPr>
      <w:r>
        <w:rPr>
          <w:rFonts w:hint="eastAsia" w:ascii="宋体" w:hAnsi="宋体" w:eastAsia="宋体" w:cs="宋体"/>
          <w:color w:val="auto"/>
          <w:spacing w:val="8"/>
          <w:sz w:val="22"/>
          <w:szCs w:val="22"/>
        </w:rPr>
        <w:t>注：消防水池容积为</w:t>
      </w:r>
      <w:r>
        <w:rPr>
          <w:rFonts w:hint="eastAsia" w:ascii="宋体" w:hAnsi="宋体" w:eastAsia="宋体" w:cs="宋体"/>
          <w:color w:val="auto"/>
          <w:spacing w:val="55"/>
          <w:sz w:val="22"/>
          <w:szCs w:val="22"/>
          <w:u w:val="single" w:color="FF0000"/>
        </w:rPr>
        <w:t xml:space="preserve"> </w:t>
      </w:r>
      <w:r>
        <w:rPr>
          <w:rFonts w:hint="eastAsia" w:ascii="宋体" w:hAnsi="宋体" w:eastAsia="宋体" w:cs="宋体"/>
          <w:color w:val="auto"/>
          <w:spacing w:val="8"/>
          <w:sz w:val="22"/>
          <w:szCs w:val="22"/>
          <w:u w:val="single" w:color="FF0000"/>
        </w:rPr>
        <w:t xml:space="preserve">792   </w:t>
      </w:r>
      <w:r>
        <w:rPr>
          <w:rFonts w:hint="eastAsia" w:ascii="微软雅黑" w:hAnsi="微软雅黑" w:eastAsia="微软雅黑" w:cs="微软雅黑"/>
          <w:color w:val="auto"/>
          <w:spacing w:val="11"/>
          <w:sz w:val="20"/>
          <w:szCs w:val="20"/>
          <w:u w:val="none"/>
          <w:lang w:val="en-US" w:eastAsia="zh-CN"/>
        </w:rPr>
        <w:t>m³</w:t>
      </w:r>
      <w:r>
        <w:rPr>
          <w:rFonts w:hint="eastAsia" w:ascii="宋体" w:hAnsi="宋体" w:eastAsia="宋体" w:cs="宋体"/>
          <w:color w:val="auto"/>
          <w:spacing w:val="8"/>
          <w:sz w:val="22"/>
          <w:szCs w:val="22"/>
        </w:rPr>
        <w:t>。</w:t>
      </w:r>
    </w:p>
    <w:p w14:paraId="4DD88701">
      <w:pPr>
        <w:keepNext w:val="0"/>
        <w:keepLines/>
        <w:pageBreakBefore w:val="0"/>
        <w:wordWrap/>
        <w:topLinePunct w:val="0"/>
        <w:bidi w:val="0"/>
        <w:spacing w:line="288" w:lineRule="auto"/>
        <w:ind w:left="0" w:leftChars="0" w:right="0" w:rightChars="0" w:firstLine="448" w:firstLineChars="200"/>
        <w:jc w:val="left"/>
        <w:rPr>
          <w:rFonts w:hint="eastAsia" w:ascii="宋体" w:hAnsi="宋体" w:eastAsia="宋体" w:cs="宋体"/>
          <w:color w:val="C00000"/>
          <w:sz w:val="24"/>
          <w:szCs w:val="24"/>
        </w:rPr>
      </w:pPr>
      <w:r>
        <w:rPr>
          <w:rFonts w:hint="eastAsia" w:ascii="宋体" w:hAnsi="宋体" w:eastAsia="宋体" w:cs="宋体"/>
          <w:color w:val="C00000"/>
          <w:spacing w:val="-8"/>
          <w:sz w:val="24"/>
          <w:szCs w:val="24"/>
        </w:rPr>
        <w:t>现有消防设施设置</w:t>
      </w:r>
      <w:r>
        <w:rPr>
          <w:rFonts w:hint="eastAsia" w:ascii="宋体" w:hAnsi="宋体" w:eastAsia="宋体" w:cs="宋体"/>
          <w:color w:val="C00000"/>
          <w:spacing w:val="110"/>
          <w:sz w:val="24"/>
          <w:szCs w:val="24"/>
        </w:rPr>
        <w:t xml:space="preserve"> </w:t>
      </w:r>
      <w:r>
        <w:rPr>
          <w:rFonts w:hint="eastAsia" w:ascii="宋体" w:hAnsi="宋体" w:eastAsia="宋体" w:cs="宋体"/>
          <w:color w:val="C00000"/>
          <w:spacing w:val="-2"/>
          <w:sz w:val="24"/>
          <w:szCs w:val="24"/>
          <w:lang w:eastAsia="zh-CN"/>
        </w:rPr>
        <w:t>☑</w:t>
      </w:r>
      <w:r>
        <w:rPr>
          <w:rFonts w:hint="eastAsia" w:ascii="宋体" w:hAnsi="宋体" w:eastAsia="宋体" w:cs="宋体"/>
          <w:color w:val="C00000"/>
          <w:spacing w:val="-72"/>
          <w:sz w:val="24"/>
          <w:szCs w:val="24"/>
        </w:rPr>
        <w:t xml:space="preserve"> </w:t>
      </w:r>
      <w:r>
        <w:rPr>
          <w:rFonts w:hint="eastAsia" w:ascii="宋体" w:hAnsi="宋体" w:eastAsia="宋体" w:cs="宋体"/>
          <w:color w:val="C00000"/>
          <w:spacing w:val="-8"/>
          <w:sz w:val="24"/>
          <w:szCs w:val="24"/>
        </w:rPr>
        <w:t>是</w:t>
      </w:r>
      <w:r>
        <w:rPr>
          <w:rFonts w:hint="eastAsia" w:ascii="宋体" w:hAnsi="宋体" w:eastAsia="宋体" w:cs="宋体"/>
          <w:color w:val="C00000"/>
          <w:spacing w:val="63"/>
          <w:sz w:val="24"/>
          <w:szCs w:val="24"/>
        </w:rPr>
        <w:t xml:space="preserve"> </w:t>
      </w:r>
      <w:r>
        <w:rPr>
          <w:rFonts w:hint="eastAsia" w:ascii="宋体" w:hAnsi="宋体" w:eastAsia="宋体" w:cs="宋体"/>
          <w:color w:val="C00000"/>
          <w:spacing w:val="-8"/>
          <w:sz w:val="24"/>
          <w:szCs w:val="24"/>
        </w:rPr>
        <w:t>□否 满足改造项目消防要求。</w:t>
      </w:r>
    </w:p>
    <w:p w14:paraId="76DCF9FA">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rPr>
        <w:t>需改造的原消防设施为</w:t>
      </w:r>
      <w:r>
        <w:rPr>
          <w:rFonts w:hint="eastAsia" w:ascii="宋体" w:hAnsi="宋体" w:eastAsia="宋体" w:cs="宋体"/>
          <w:color w:val="C00000"/>
          <w:spacing w:val="-1"/>
          <w:sz w:val="24"/>
          <w:szCs w:val="24"/>
          <w:u w:val="single" w:color="FF0000"/>
          <w:lang w:val="en-US" w:eastAsia="zh-CN"/>
        </w:rPr>
        <w:t xml:space="preserve">   屋顶消防水箱、消防泵房    </w:t>
      </w:r>
      <w:r>
        <w:rPr>
          <w:rFonts w:hint="eastAsia" w:ascii="宋体" w:hAnsi="宋体" w:eastAsia="宋体" w:cs="宋体"/>
          <w:color w:val="auto"/>
          <w:spacing w:val="-3"/>
          <w:sz w:val="24"/>
          <w:szCs w:val="24"/>
        </w:rPr>
        <w:t>，具体改造措</w:t>
      </w:r>
      <w:r>
        <w:rPr>
          <w:rFonts w:hint="eastAsia" w:ascii="宋体" w:hAnsi="宋体" w:eastAsia="宋体" w:cs="宋体"/>
          <w:color w:val="auto"/>
          <w:spacing w:val="-4"/>
          <w:sz w:val="24"/>
          <w:szCs w:val="24"/>
        </w:rPr>
        <w:t>施</w:t>
      </w:r>
      <w:r>
        <w:rPr>
          <w:rFonts w:hint="eastAsia" w:ascii="宋体" w:hAnsi="宋体" w:eastAsia="宋体" w:cs="宋体"/>
          <w:color w:val="C00000"/>
          <w:spacing w:val="-1"/>
          <w:sz w:val="24"/>
          <w:szCs w:val="24"/>
          <w:u w:val="single" w:color="FF0000"/>
          <w:lang w:val="en-US" w:eastAsia="zh-CN"/>
        </w:rPr>
        <w:t xml:space="preserve">    屋顶消防水箱的消火栓稳压管、喷淋稳压管上增设流量开关，消防泵房消火栓、喷淋泵出水干管上增设压力开关   </w:t>
      </w:r>
      <w:r>
        <w:rPr>
          <w:rFonts w:hint="eastAsia" w:ascii="宋体" w:hAnsi="宋体" w:eastAsia="宋体" w:cs="宋体"/>
          <w:color w:val="auto"/>
          <w:spacing w:val="-4"/>
          <w:sz w:val="24"/>
          <w:szCs w:val="24"/>
        </w:rPr>
        <w:t>。</w:t>
      </w:r>
      <w:r>
        <w:rPr>
          <w:rFonts w:hint="eastAsia" w:ascii="宋体" w:hAnsi="宋体" w:eastAsia="宋体" w:cs="宋体"/>
          <w:color w:val="auto"/>
          <w:sz w:val="24"/>
          <w:szCs w:val="24"/>
        </w:rPr>
        <w:t xml:space="preserve"> </w:t>
      </w:r>
    </w:p>
    <w:p w14:paraId="709FE1DB">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p>
    <w:p w14:paraId="23E993AD">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4.3.消防水系统</w:t>
      </w:r>
    </w:p>
    <w:p w14:paraId="1CC7C9F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4.3.1</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4"/>
          <w:sz w:val="24"/>
          <w:szCs w:val="24"/>
        </w:rPr>
        <w:t>室外消防给水工程。</w:t>
      </w:r>
    </w:p>
    <w:p w14:paraId="4E1E4300">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rPr>
        <w:t>1 室外消火栓供水系统采用以下第</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4"/>
          <w:sz w:val="24"/>
          <w:szCs w:val="24"/>
          <w:u w:val="single" w:color="FF0000"/>
          <w:lang w:val="en-US" w:eastAsia="zh-CN"/>
        </w:rPr>
        <w:t>1</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86"/>
          <w:sz w:val="24"/>
          <w:szCs w:val="24"/>
        </w:rPr>
        <w:t xml:space="preserve"> </w:t>
      </w:r>
      <w:r>
        <w:rPr>
          <w:rFonts w:hint="eastAsia" w:ascii="宋体" w:hAnsi="宋体" w:eastAsia="宋体" w:cs="宋体"/>
          <w:color w:val="auto"/>
          <w:spacing w:val="-4"/>
          <w:sz w:val="24"/>
          <w:szCs w:val="24"/>
        </w:rPr>
        <w:t>种方式：</w:t>
      </w:r>
    </w:p>
    <w:p w14:paraId="2D01DC50">
      <w:pPr>
        <w:keepNext w:val="0"/>
        <w:keepLines/>
        <w:pageBreakBefore w:val="0"/>
        <w:numPr>
          <w:ilvl w:val="0"/>
          <w:numId w:val="0"/>
        </w:numPr>
        <w:wordWrap/>
        <w:topLinePunct w:val="0"/>
        <w:bidi w:val="0"/>
        <w:spacing w:line="288" w:lineRule="auto"/>
        <w:ind w:left="0" w:leftChars="0" w:right="0" w:rightChars="0" w:firstLine="464" w:firstLineChars="200"/>
        <w:jc w:val="left"/>
        <w:rPr>
          <w:rFonts w:hint="eastAsia" w:ascii="宋体" w:hAnsi="宋体" w:eastAsia="宋体" w:cs="宋体"/>
          <w:color w:val="auto"/>
          <w:spacing w:val="-4"/>
          <w:sz w:val="24"/>
          <w:szCs w:val="24"/>
        </w:rPr>
      </w:pPr>
      <w:r>
        <w:rPr>
          <w:rFonts w:hint="eastAsia" w:ascii="宋体" w:hAnsi="宋体" w:eastAsia="宋体" w:cs="宋体"/>
          <w:snapToGrid w:val="0"/>
          <w:color w:val="auto"/>
          <w:spacing w:val="-4"/>
          <w:sz w:val="24"/>
          <w:szCs w:val="24"/>
          <w:lang w:val="en-US" w:eastAsia="zh-CN" w:bidi="ar-SA"/>
        </w:rPr>
        <w:t>1）</w:t>
      </w:r>
      <w:r>
        <w:rPr>
          <w:rFonts w:hint="eastAsia" w:ascii="宋体" w:hAnsi="宋体" w:eastAsia="宋体" w:cs="宋体"/>
          <w:color w:val="auto"/>
          <w:spacing w:val="-4"/>
          <w:sz w:val="24"/>
          <w:szCs w:val="24"/>
        </w:rPr>
        <w:t>室外消火栓用水采用城市自来水直接供给。</w:t>
      </w:r>
    </w:p>
    <w:p w14:paraId="2C0875AA">
      <w:pPr>
        <w:keepNext w:val="0"/>
        <w:keepLines/>
        <w:pageBreakBefore w:val="0"/>
        <w:numPr>
          <w:ilvl w:val="0"/>
          <w:numId w:val="0"/>
        </w:numPr>
        <w:wordWrap/>
        <w:topLinePunct w:val="0"/>
        <w:bidi w:val="0"/>
        <w:spacing w:line="288" w:lineRule="auto"/>
        <w:ind w:left="0" w:leftChars="0" w:right="0" w:rightChars="0" w:firstLine="464" w:firstLineChars="200"/>
        <w:jc w:val="left"/>
        <w:rPr>
          <w:rFonts w:hint="eastAsia" w:ascii="宋体" w:hAnsi="宋体" w:eastAsia="宋体" w:cs="宋体"/>
          <w:color w:val="auto"/>
          <w:spacing w:val="-4"/>
          <w:sz w:val="24"/>
          <w:szCs w:val="24"/>
        </w:rPr>
      </w:pPr>
      <w:r>
        <w:rPr>
          <w:rFonts w:hint="eastAsia" w:ascii="宋体" w:hAnsi="宋体" w:eastAsia="宋体" w:cs="宋体"/>
          <w:snapToGrid w:val="0"/>
          <w:color w:val="auto"/>
          <w:spacing w:val="-4"/>
          <w:sz w:val="24"/>
          <w:szCs w:val="24"/>
          <w:lang w:val="en-US" w:eastAsia="zh-CN" w:bidi="ar-SA"/>
        </w:rPr>
        <w:t>2）</w:t>
      </w:r>
      <w:r>
        <w:rPr>
          <w:rFonts w:hint="eastAsia" w:ascii="宋体" w:hAnsi="宋体" w:eastAsia="宋体" w:cs="宋体"/>
          <w:color w:val="auto"/>
          <w:spacing w:val="-4"/>
          <w:sz w:val="24"/>
          <w:szCs w:val="24"/>
        </w:rPr>
        <w:t>室外消火栓用水由室外消防水池经室外消火栓泵加压供给。室外消防水池设于</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层，取水口规格</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，消防水池最低有效水位距室外地面高差</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lang w:val="en-US" w:eastAsia="zh-CN"/>
        </w:rPr>
        <w:t xml:space="preserve"> </w:t>
      </w:r>
      <w:r>
        <w:rPr>
          <w:rFonts w:hint="eastAsia" w:ascii="宋体" w:hAnsi="宋体" w:eastAsia="宋体" w:cs="宋体"/>
          <w:color w:val="auto"/>
          <w:spacing w:val="-4"/>
          <w:sz w:val="24"/>
          <w:szCs w:val="24"/>
        </w:rPr>
        <w:t>m，其有效容积为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lang w:val="en-US" w:eastAsia="zh-CN"/>
        </w:rPr>
        <w:t xml:space="preserve"> </w:t>
      </w:r>
      <w:r>
        <w:rPr>
          <w:rFonts w:hint="eastAsia" w:ascii="微软雅黑" w:hAnsi="微软雅黑" w:eastAsia="微软雅黑" w:cs="微软雅黑"/>
          <w:color w:val="auto"/>
          <w:spacing w:val="11"/>
          <w:sz w:val="21"/>
          <w:szCs w:val="21"/>
          <w:u w:val="none"/>
          <w:lang w:val="en-US" w:eastAsia="zh-CN"/>
        </w:rPr>
        <w:t>m³</w:t>
      </w:r>
      <w:r>
        <w:rPr>
          <w:rFonts w:hint="eastAsia" w:ascii="宋体" w:hAnsi="宋体" w:eastAsia="宋体" w:cs="宋体"/>
          <w:color w:val="auto"/>
          <w:spacing w:val="-4"/>
          <w:sz w:val="24"/>
          <w:szCs w:val="24"/>
        </w:rPr>
        <w:t>；室外消火栓泵设于</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层，技术参数Q=</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L/s, H=</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m,两台，互为备用，室外消火栓泵启泵压力开关设置参数</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MPa、流量开关</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L/s；室外消火栓系统设置稳压设备，稳压设备设于</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 xml:space="preserve"> ，设备参数：Q=</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L/s, H=</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rPr>
        <w:t>m，两台，互为备用，配稳压罐直径</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mm。</w:t>
      </w:r>
    </w:p>
    <w:p w14:paraId="0E21933B">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rPr>
        <w:t>2 室外消防用水量为</w:t>
      </w:r>
      <w:r>
        <w:rPr>
          <w:rFonts w:hint="eastAsia" w:ascii="宋体" w:hAnsi="宋体" w:eastAsia="宋体" w:cs="宋体"/>
          <w:color w:val="auto"/>
          <w:spacing w:val="-3"/>
          <w:sz w:val="24"/>
          <w:szCs w:val="24"/>
          <w:u w:val="single" w:color="FF0000"/>
        </w:rPr>
        <w:t xml:space="preserve">  30  </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L/s。</w:t>
      </w:r>
    </w:p>
    <w:p w14:paraId="7651ECFE">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3 室外消火栓，最大间距 </w:t>
      </w:r>
      <w:r>
        <w:rPr>
          <w:rFonts w:hint="eastAsia" w:ascii="宋体" w:hAnsi="宋体" w:eastAsia="宋体" w:cs="宋体"/>
          <w:color w:val="auto"/>
          <w:spacing w:val="-2"/>
          <w:sz w:val="24"/>
          <w:szCs w:val="24"/>
          <w:u w:val="single" w:color="FF0000"/>
        </w:rPr>
        <w:t xml:space="preserve"> 120      </w:t>
      </w:r>
      <w:r>
        <w:rPr>
          <w:rFonts w:hint="eastAsia" w:ascii="宋体" w:hAnsi="宋体" w:eastAsia="宋体" w:cs="宋体"/>
          <w:color w:val="auto"/>
          <w:spacing w:val="-111"/>
          <w:sz w:val="24"/>
          <w:szCs w:val="24"/>
        </w:rPr>
        <w:t xml:space="preserve"> </w:t>
      </w:r>
      <w:r>
        <w:rPr>
          <w:rFonts w:hint="eastAsia" w:ascii="宋体" w:hAnsi="宋体" w:eastAsia="宋体" w:cs="宋体"/>
          <w:color w:val="auto"/>
          <w:spacing w:val="-2"/>
          <w:sz w:val="24"/>
          <w:szCs w:val="24"/>
        </w:rPr>
        <w:t>m（不超过 1</w:t>
      </w:r>
      <w:r>
        <w:rPr>
          <w:rFonts w:hint="eastAsia" w:ascii="宋体" w:hAnsi="宋体" w:eastAsia="宋体" w:cs="宋体"/>
          <w:color w:val="auto"/>
          <w:spacing w:val="-3"/>
          <w:sz w:val="24"/>
          <w:szCs w:val="24"/>
        </w:rPr>
        <w:t>20m）,距道路边最大距离</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u w:val="single" w:color="FF0000"/>
          <w:lang w:val="en-US" w:eastAsia="zh-CN"/>
        </w:rPr>
        <w:t>2</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rPr>
        <w:t xml:space="preserve"> m（不大于</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2.0m）,距建筑物外墙最小</w:t>
      </w:r>
      <w:r>
        <w:rPr>
          <w:rFonts w:hint="eastAsia" w:ascii="宋体" w:hAnsi="宋体" w:eastAsia="宋体" w:cs="宋体"/>
          <w:color w:val="auto"/>
          <w:spacing w:val="-3"/>
          <w:sz w:val="24"/>
          <w:szCs w:val="24"/>
        </w:rPr>
        <w:t>距离</w:t>
      </w:r>
      <w:r>
        <w:rPr>
          <w:rFonts w:hint="eastAsia" w:ascii="宋体" w:hAnsi="宋体" w:eastAsia="宋体" w:cs="宋体"/>
          <w:color w:val="auto"/>
          <w:spacing w:val="-3"/>
          <w:sz w:val="24"/>
          <w:szCs w:val="24"/>
          <w:u w:val="single" w:color="FF0000"/>
        </w:rPr>
        <w:t xml:space="preserve">   5    </w:t>
      </w:r>
      <w:r>
        <w:rPr>
          <w:rFonts w:hint="eastAsia" w:ascii="宋体" w:hAnsi="宋体" w:eastAsia="宋体" w:cs="宋体"/>
          <w:color w:val="auto"/>
          <w:spacing w:val="-3"/>
          <w:sz w:val="24"/>
          <w:szCs w:val="24"/>
        </w:rPr>
        <w:t>m （不宜小于</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3"/>
          <w:sz w:val="24"/>
          <w:szCs w:val="24"/>
        </w:rPr>
        <w:t>5.0m）。</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建筑消防扑救面一侧的室外消火栓数量</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3"/>
          <w:sz w:val="24"/>
          <w:szCs w:val="24"/>
          <w:u w:val="single" w:color="FF0000"/>
        </w:rPr>
        <w:t xml:space="preserve"> 2   </w:t>
      </w:r>
      <w:r>
        <w:rPr>
          <w:rFonts w:hint="eastAsia" w:ascii="宋体" w:hAnsi="宋体" w:eastAsia="宋体" w:cs="宋体"/>
          <w:color w:val="auto"/>
          <w:spacing w:val="-101"/>
          <w:sz w:val="24"/>
          <w:szCs w:val="24"/>
        </w:rPr>
        <w:t xml:space="preserve"> </w:t>
      </w:r>
      <w:r>
        <w:rPr>
          <w:rFonts w:hint="eastAsia" w:ascii="宋体" w:hAnsi="宋体" w:eastAsia="宋体" w:cs="宋体"/>
          <w:color w:val="auto"/>
          <w:spacing w:val="-3"/>
          <w:sz w:val="24"/>
          <w:szCs w:val="24"/>
        </w:rPr>
        <w:t>个（不宜少于</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3"/>
          <w:sz w:val="24"/>
          <w:szCs w:val="24"/>
        </w:rPr>
        <w:t>个）</w:t>
      </w:r>
    </w:p>
    <w:p w14:paraId="57D2F89E">
      <w:pPr>
        <w:keepNext w:val="0"/>
        <w:keepLines/>
        <w:pageBreakBefore w:val="0"/>
        <w:wordWrap/>
        <w:topLinePunct w:val="0"/>
        <w:bidi w:val="0"/>
        <w:spacing w:line="288" w:lineRule="auto"/>
        <w:ind w:left="0" w:leftChars="0" w:right="0" w:rightChars="0" w:firstLine="484" w:firstLineChars="200"/>
        <w:jc w:val="left"/>
        <w:rPr>
          <w:rFonts w:hint="eastAsia" w:ascii="宋体" w:hAnsi="宋体" w:eastAsia="宋体" w:cs="宋体"/>
          <w:color w:val="auto"/>
          <w:spacing w:val="-5"/>
          <w:sz w:val="24"/>
          <w:szCs w:val="24"/>
        </w:rPr>
      </w:pPr>
      <w:r>
        <w:rPr>
          <w:rFonts w:hint="eastAsia" w:ascii="宋体" w:hAnsi="宋体" w:eastAsia="宋体" w:cs="宋体"/>
          <w:color w:val="auto"/>
          <w:spacing w:val="1"/>
          <w:sz w:val="24"/>
          <w:szCs w:val="24"/>
        </w:rPr>
        <w:t>4 本工程共设有</w:t>
      </w:r>
      <w:r>
        <w:rPr>
          <w:rFonts w:hint="eastAsia" w:ascii="宋体" w:hAnsi="宋体" w:eastAsia="宋体" w:cs="宋体"/>
          <w:color w:val="auto"/>
          <w:spacing w:val="-103"/>
          <w:sz w:val="24"/>
          <w:szCs w:val="24"/>
        </w:rPr>
        <w:t xml:space="preserve"> </w:t>
      </w:r>
      <w:r>
        <w:rPr>
          <w:rFonts w:hint="eastAsia" w:ascii="宋体" w:hAnsi="宋体" w:eastAsia="宋体" w:cs="宋体"/>
          <w:color w:val="auto"/>
          <w:spacing w:val="1"/>
          <w:sz w:val="24"/>
          <w:szCs w:val="24"/>
          <w:u w:val="single" w:color="FF0000"/>
        </w:rPr>
        <w:t xml:space="preserve">  2   </w:t>
      </w:r>
      <w:r>
        <w:rPr>
          <w:rFonts w:hint="eastAsia" w:ascii="宋体" w:hAnsi="宋体" w:eastAsia="宋体" w:cs="宋体"/>
          <w:color w:val="auto"/>
          <w:spacing w:val="-100"/>
          <w:sz w:val="24"/>
          <w:szCs w:val="24"/>
        </w:rPr>
        <w:t xml:space="preserve"> </w:t>
      </w:r>
      <w:r>
        <w:rPr>
          <w:rFonts w:hint="eastAsia" w:ascii="宋体" w:hAnsi="宋体" w:eastAsia="宋体" w:cs="宋体"/>
          <w:color w:val="auto"/>
          <w:spacing w:val="1"/>
          <w:sz w:val="24"/>
          <w:szCs w:val="24"/>
        </w:rPr>
        <w:t>套室内消火栓水泵接合器和</w:t>
      </w:r>
      <w:r>
        <w:rPr>
          <w:rFonts w:hint="eastAsia" w:ascii="宋体" w:hAnsi="宋体" w:eastAsia="宋体" w:cs="宋体"/>
          <w:color w:val="auto"/>
          <w:spacing w:val="-113"/>
          <w:sz w:val="24"/>
          <w:szCs w:val="24"/>
        </w:rPr>
        <w:t xml:space="preserve"> </w:t>
      </w:r>
      <w:r>
        <w:rPr>
          <w:rFonts w:hint="eastAsia" w:ascii="宋体" w:hAnsi="宋体" w:eastAsia="宋体" w:cs="宋体"/>
          <w:color w:val="auto"/>
          <w:spacing w:val="11"/>
          <w:sz w:val="24"/>
          <w:szCs w:val="24"/>
          <w:u w:val="single" w:color="FF0000"/>
        </w:rPr>
        <w:t xml:space="preserve">  </w:t>
      </w:r>
      <w:r>
        <w:rPr>
          <w:rFonts w:hint="eastAsia" w:ascii="宋体" w:hAnsi="宋体" w:eastAsia="宋体" w:cs="宋体"/>
          <w:color w:val="auto"/>
          <w:spacing w:val="1"/>
          <w:sz w:val="24"/>
          <w:szCs w:val="24"/>
          <w:u w:val="single" w:color="FF0000"/>
          <w:lang w:val="en-US" w:eastAsia="zh-CN"/>
        </w:rPr>
        <w:t>4</w:t>
      </w:r>
      <w:r>
        <w:rPr>
          <w:rFonts w:hint="eastAsia" w:ascii="宋体" w:hAnsi="宋体" w:eastAsia="宋体" w:cs="宋体"/>
          <w:color w:val="auto"/>
          <w:spacing w:val="5"/>
          <w:sz w:val="24"/>
          <w:szCs w:val="24"/>
          <w:u w:val="single" w:color="FF0000"/>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z w:val="24"/>
          <w:szCs w:val="24"/>
        </w:rPr>
        <w:t xml:space="preserve">套自动喷水灭火 </w:t>
      </w:r>
      <w:r>
        <w:rPr>
          <w:rFonts w:hint="eastAsia" w:ascii="宋体" w:hAnsi="宋体" w:eastAsia="宋体" w:cs="宋体"/>
          <w:color w:val="auto"/>
          <w:spacing w:val="-5"/>
          <w:sz w:val="24"/>
          <w:szCs w:val="24"/>
        </w:rPr>
        <w:t>系统水泵接合器，其附近 15m～40m 内均设有室外消火栓。</w:t>
      </w:r>
    </w:p>
    <w:p w14:paraId="66632B96">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4.3.2</w:t>
      </w:r>
      <w:r>
        <w:rPr>
          <w:rFonts w:hint="eastAsia" w:ascii="宋体" w:hAnsi="宋体" w:eastAsia="宋体" w:cs="宋体"/>
          <w:color w:val="auto"/>
          <w:spacing w:val="-27"/>
          <w:sz w:val="24"/>
          <w:szCs w:val="24"/>
        </w:rPr>
        <w:t xml:space="preserve"> </w:t>
      </w:r>
      <w:r>
        <w:rPr>
          <w:rFonts w:hint="eastAsia" w:ascii="宋体" w:hAnsi="宋体" w:eastAsia="宋体" w:cs="宋体"/>
          <w:color w:val="auto"/>
          <w:spacing w:val="-4"/>
          <w:sz w:val="24"/>
          <w:szCs w:val="24"/>
        </w:rPr>
        <w:t>室内消火栓系统</w:t>
      </w:r>
    </w:p>
    <w:p w14:paraId="01E222A0">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1 本工程室内消火栓系统设计用水量</w:t>
      </w:r>
      <w:r>
        <w:rPr>
          <w:rFonts w:hint="eastAsia" w:ascii="宋体" w:hAnsi="宋体" w:eastAsia="宋体" w:cs="宋体"/>
          <w:color w:val="auto"/>
          <w:spacing w:val="-2"/>
          <w:sz w:val="24"/>
          <w:szCs w:val="24"/>
          <w:u w:val="single" w:color="FF0000"/>
        </w:rPr>
        <w:t xml:space="preserve">   144   </w:t>
      </w:r>
      <w:r>
        <w:rPr>
          <w:rFonts w:hint="eastAsia" w:ascii="宋体" w:hAnsi="宋体" w:eastAsia="宋体" w:cs="宋体"/>
          <w:color w:val="auto"/>
          <w:spacing w:val="-117"/>
          <w:sz w:val="24"/>
          <w:szCs w:val="24"/>
        </w:rPr>
        <w:t xml:space="preserve"> </w:t>
      </w:r>
      <w:r>
        <w:rPr>
          <w:rFonts w:hint="eastAsia" w:ascii="宋体" w:hAnsi="宋体" w:eastAsia="宋体" w:cs="宋体"/>
          <w:color w:val="auto"/>
          <w:spacing w:val="-2"/>
          <w:sz w:val="24"/>
          <w:szCs w:val="24"/>
        </w:rPr>
        <w:t>m</w:t>
      </w:r>
      <w:r>
        <w:rPr>
          <w:rFonts w:hint="eastAsia" w:ascii="宋体" w:hAnsi="宋体" w:eastAsia="宋体" w:cs="宋体"/>
          <w:color w:val="auto"/>
          <w:spacing w:val="-2"/>
          <w:position w:val="10"/>
          <w:sz w:val="24"/>
          <w:szCs w:val="24"/>
        </w:rPr>
        <w:t>3</w:t>
      </w:r>
      <w:r>
        <w:rPr>
          <w:rFonts w:hint="eastAsia" w:ascii="宋体" w:hAnsi="宋体" w:eastAsia="宋体" w:cs="宋体"/>
          <w:color w:val="auto"/>
          <w:spacing w:val="-2"/>
          <w:sz w:val="24"/>
          <w:szCs w:val="24"/>
        </w:rPr>
        <w:t>。</w:t>
      </w:r>
    </w:p>
    <w:p w14:paraId="72604821">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2 采用临时高压消火栓灭火系统。</w:t>
      </w:r>
    </w:p>
    <w:p w14:paraId="7435D786">
      <w:pPr>
        <w:keepNext w:val="0"/>
        <w:keepLines/>
        <w:pageBreakBefore w:val="0"/>
        <w:wordWrap/>
        <w:topLinePunct w:val="0"/>
        <w:bidi w:val="0"/>
        <w:spacing w:line="288" w:lineRule="auto"/>
        <w:ind w:left="0" w:leftChars="0" w:right="0" w:rightChars="0" w:firstLine="452" w:firstLineChars="200"/>
        <w:jc w:val="left"/>
        <w:rPr>
          <w:rFonts w:hint="eastAsia" w:ascii="宋体" w:hAnsi="宋体" w:eastAsia="宋体" w:cs="宋体"/>
          <w:color w:val="auto"/>
          <w:sz w:val="24"/>
          <w:szCs w:val="24"/>
        </w:rPr>
      </w:pPr>
      <w:r>
        <w:rPr>
          <w:rFonts w:hint="eastAsia" w:ascii="宋体" w:hAnsi="宋体" w:eastAsia="宋体" w:cs="宋体"/>
          <w:color w:val="auto"/>
          <w:spacing w:val="-7"/>
          <w:sz w:val="24"/>
          <w:szCs w:val="24"/>
        </w:rPr>
        <w:t>地块最高栋建筑高度</w:t>
      </w:r>
      <w:r>
        <w:rPr>
          <w:rFonts w:hint="eastAsia" w:ascii="宋体" w:hAnsi="宋体" w:eastAsia="宋体" w:cs="宋体"/>
          <w:color w:val="auto"/>
          <w:spacing w:val="-7"/>
          <w:sz w:val="24"/>
          <w:szCs w:val="24"/>
          <w:u w:val="single" w:color="FF0000"/>
        </w:rPr>
        <w:t xml:space="preserve">  23.6 </w:t>
      </w:r>
      <w:r>
        <w:rPr>
          <w:rFonts w:hint="eastAsia" w:ascii="宋体" w:hAnsi="宋体" w:eastAsia="宋体" w:cs="宋体"/>
          <w:color w:val="auto"/>
          <w:spacing w:val="-7"/>
          <w:sz w:val="24"/>
          <w:szCs w:val="24"/>
        </w:rPr>
        <w:t>m，分</w:t>
      </w:r>
      <w:r>
        <w:rPr>
          <w:rFonts w:hint="eastAsia" w:ascii="宋体" w:hAnsi="宋体" w:eastAsia="宋体" w:cs="宋体"/>
          <w:color w:val="auto"/>
          <w:spacing w:val="-7"/>
          <w:sz w:val="24"/>
          <w:szCs w:val="24"/>
          <w:u w:val="single" w:color="FF0000"/>
        </w:rPr>
        <w:t xml:space="preserve">   1 </w:t>
      </w:r>
      <w:r>
        <w:rPr>
          <w:rFonts w:hint="eastAsia" w:ascii="宋体" w:hAnsi="宋体" w:eastAsia="宋体" w:cs="宋体"/>
          <w:color w:val="auto"/>
          <w:spacing w:val="-7"/>
          <w:sz w:val="24"/>
          <w:szCs w:val="24"/>
        </w:rPr>
        <w:t>个区，</w:t>
      </w:r>
      <w:r>
        <w:rPr>
          <w:rFonts w:hint="eastAsia" w:ascii="宋体" w:hAnsi="宋体" w:eastAsia="宋体" w:cs="宋体"/>
          <w:color w:val="auto"/>
          <w:spacing w:val="14"/>
          <w:sz w:val="24"/>
          <w:szCs w:val="24"/>
          <w:u w:val="single" w:color="FF0000"/>
        </w:rPr>
        <w:t xml:space="preserve">  </w:t>
      </w:r>
      <w:r>
        <w:rPr>
          <w:rFonts w:hint="eastAsia" w:ascii="宋体" w:hAnsi="宋体" w:eastAsia="宋体" w:cs="宋体"/>
          <w:color w:val="auto"/>
          <w:spacing w:val="14"/>
          <w:sz w:val="24"/>
          <w:szCs w:val="24"/>
          <w:u w:val="single" w:color="FF0000"/>
          <w:lang w:val="en-US" w:eastAsia="zh-CN"/>
        </w:rPr>
        <w:t>-</w:t>
      </w:r>
      <w:r>
        <w:rPr>
          <w:rFonts w:hint="eastAsia" w:ascii="宋体" w:hAnsi="宋体" w:eastAsia="宋体" w:cs="宋体"/>
          <w:color w:val="auto"/>
          <w:spacing w:val="-7"/>
          <w:sz w:val="24"/>
          <w:szCs w:val="24"/>
          <w:u w:val="single" w:color="FF0000"/>
        </w:rPr>
        <w:t xml:space="preserve">1  </w:t>
      </w:r>
      <w:r>
        <w:rPr>
          <w:rFonts w:hint="eastAsia" w:ascii="宋体" w:hAnsi="宋体" w:eastAsia="宋体" w:cs="宋体"/>
          <w:color w:val="auto"/>
          <w:spacing w:val="-100"/>
          <w:sz w:val="24"/>
          <w:szCs w:val="24"/>
        </w:rPr>
        <w:t xml:space="preserve"> </w:t>
      </w:r>
      <w:r>
        <w:rPr>
          <w:rFonts w:hint="eastAsia" w:ascii="宋体" w:hAnsi="宋体" w:eastAsia="宋体" w:cs="宋体"/>
          <w:color w:val="auto"/>
          <w:spacing w:val="-7"/>
          <w:sz w:val="24"/>
          <w:szCs w:val="24"/>
        </w:rPr>
        <w:t>层～</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7"/>
          <w:sz w:val="24"/>
          <w:szCs w:val="24"/>
          <w:u w:val="single" w:color="FF0000"/>
        </w:rPr>
        <w:t xml:space="preserve">  </w:t>
      </w:r>
      <w:r>
        <w:rPr>
          <w:rFonts w:hint="eastAsia" w:ascii="宋体" w:hAnsi="宋体" w:eastAsia="宋体" w:cs="宋体"/>
          <w:color w:val="auto"/>
          <w:spacing w:val="-7"/>
          <w:sz w:val="24"/>
          <w:szCs w:val="24"/>
          <w:u w:val="single" w:color="FF0000"/>
        </w:rPr>
        <w:t>4</w:t>
      </w:r>
      <w:r>
        <w:rPr>
          <w:rFonts w:hint="eastAsia" w:ascii="宋体" w:hAnsi="宋体" w:eastAsia="宋体" w:cs="宋体"/>
          <w:color w:val="auto"/>
          <w:spacing w:val="19"/>
          <w:sz w:val="24"/>
          <w:szCs w:val="24"/>
          <w:u w:val="single" w:color="FF0000"/>
        </w:rPr>
        <w:t xml:space="preserve"> </w:t>
      </w:r>
      <w:r>
        <w:rPr>
          <w:rFonts w:hint="eastAsia" w:ascii="宋体" w:hAnsi="宋体" w:eastAsia="宋体" w:cs="宋体"/>
          <w:color w:val="auto"/>
          <w:spacing w:val="-7"/>
          <w:sz w:val="24"/>
          <w:szCs w:val="24"/>
        </w:rPr>
        <w:t>层为</w:t>
      </w:r>
      <w:r>
        <w:rPr>
          <w:rFonts w:hint="eastAsia" w:ascii="宋体" w:hAnsi="宋体" w:eastAsia="宋体" w:cs="宋体"/>
          <w:color w:val="auto"/>
          <w:spacing w:val="6"/>
          <w:sz w:val="24"/>
          <w:szCs w:val="24"/>
          <w:u w:val="single" w:color="FF0000"/>
        </w:rPr>
        <w:t xml:space="preserve"> </w:t>
      </w:r>
      <w:r>
        <w:rPr>
          <w:rFonts w:hint="eastAsia" w:ascii="宋体" w:hAnsi="宋体" w:eastAsia="宋体" w:cs="宋体"/>
          <w:color w:val="auto"/>
          <w:spacing w:val="6"/>
          <w:sz w:val="24"/>
          <w:szCs w:val="24"/>
          <w:u w:val="single" w:color="FF0000"/>
          <w:lang w:val="en-US" w:eastAsia="zh-CN"/>
        </w:rPr>
        <w:t xml:space="preserve">1 </w:t>
      </w:r>
      <w:r>
        <w:rPr>
          <w:rFonts w:hint="eastAsia" w:ascii="宋体" w:hAnsi="宋体" w:eastAsia="宋体" w:cs="宋体"/>
          <w:color w:val="auto"/>
          <w:spacing w:val="-4"/>
          <w:sz w:val="24"/>
          <w:szCs w:val="24"/>
        </w:rPr>
        <w:t>区，由</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4"/>
          <w:sz w:val="24"/>
          <w:szCs w:val="24"/>
          <w:u w:val="single" w:color="FF0000"/>
          <w:lang w:val="en-US" w:eastAsia="zh-CN"/>
        </w:rPr>
        <w:t>室内消火栓加压泵</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96"/>
          <w:sz w:val="24"/>
          <w:szCs w:val="24"/>
        </w:rPr>
        <w:t xml:space="preserve"> </w:t>
      </w:r>
      <w:r>
        <w:rPr>
          <w:rFonts w:hint="eastAsia" w:ascii="宋体" w:hAnsi="宋体" w:eastAsia="宋体" w:cs="宋体"/>
          <w:color w:val="auto"/>
          <w:spacing w:val="-4"/>
          <w:sz w:val="24"/>
          <w:szCs w:val="24"/>
        </w:rPr>
        <w:t>供水；</w:t>
      </w:r>
    </w:p>
    <w:p w14:paraId="02A2193D">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3 本工程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4"/>
          <w:sz w:val="24"/>
          <w:szCs w:val="24"/>
        </w:rPr>
        <w:t>有</w:t>
      </w:r>
      <w:r>
        <w:rPr>
          <w:rFonts w:hint="eastAsia" w:ascii="宋体" w:hAnsi="宋体" w:eastAsia="宋体" w:cs="宋体"/>
          <w:color w:val="auto"/>
          <w:spacing w:val="68"/>
          <w:sz w:val="24"/>
          <w:szCs w:val="24"/>
        </w:rPr>
        <w:t xml:space="preserve"> </w:t>
      </w:r>
      <w:r>
        <w:rPr>
          <w:rFonts w:hint="eastAsia" w:ascii="宋体" w:hAnsi="宋体" w:eastAsia="宋体" w:cs="宋体"/>
          <w:color w:val="auto"/>
          <w:spacing w:val="-4"/>
          <w:sz w:val="24"/>
          <w:szCs w:val="24"/>
        </w:rPr>
        <w:t>□无 消防贮水池。消防贮水</w:t>
      </w:r>
      <w:r>
        <w:rPr>
          <w:rFonts w:hint="eastAsia" w:ascii="宋体" w:hAnsi="宋体" w:eastAsia="宋体" w:cs="宋体"/>
          <w:color w:val="auto"/>
          <w:spacing w:val="-5"/>
          <w:sz w:val="24"/>
          <w:szCs w:val="24"/>
        </w:rPr>
        <w:t>池有效容积为</w:t>
      </w:r>
      <w:r>
        <w:rPr>
          <w:rFonts w:hint="eastAsia" w:ascii="宋体" w:hAnsi="宋体" w:eastAsia="宋体" w:cs="宋体"/>
          <w:color w:val="auto"/>
          <w:spacing w:val="-5"/>
          <w:sz w:val="24"/>
          <w:szCs w:val="24"/>
          <w:u w:val="single" w:color="FF0000"/>
        </w:rPr>
        <w:t xml:space="preserve">   792   </w:t>
      </w:r>
      <w:r>
        <w:rPr>
          <w:rFonts w:hint="eastAsia" w:ascii="宋体" w:hAnsi="宋体" w:eastAsia="宋体" w:cs="宋体"/>
          <w:color w:val="auto"/>
          <w:spacing w:val="-117"/>
          <w:sz w:val="24"/>
          <w:szCs w:val="24"/>
        </w:rPr>
        <w:t xml:space="preserve"> </w:t>
      </w:r>
      <w:r>
        <w:rPr>
          <w:rFonts w:hint="eastAsia" w:ascii="宋体" w:hAnsi="宋体" w:eastAsia="宋体" w:cs="宋体"/>
          <w:color w:val="auto"/>
          <w:spacing w:val="-5"/>
          <w:sz w:val="24"/>
          <w:szCs w:val="24"/>
        </w:rPr>
        <w:t>m</w:t>
      </w:r>
      <w:r>
        <w:rPr>
          <w:rFonts w:hint="eastAsia" w:ascii="宋体" w:hAnsi="宋体" w:eastAsia="宋体" w:cs="宋体"/>
          <w:color w:val="auto"/>
          <w:spacing w:val="-5"/>
          <w:position w:val="10"/>
          <w:sz w:val="24"/>
          <w:szCs w:val="24"/>
        </w:rPr>
        <w:t>3</w:t>
      </w:r>
      <w:r>
        <w:rPr>
          <w:rFonts w:hint="eastAsia" w:ascii="宋体" w:hAnsi="宋体" w:eastAsia="宋体" w:cs="宋体"/>
          <w:color w:val="auto"/>
          <w:spacing w:val="-5"/>
          <w:sz w:val="24"/>
          <w:szCs w:val="24"/>
        </w:rPr>
        <w:t>,分</w:t>
      </w:r>
      <w:r>
        <w:rPr>
          <w:rFonts w:hint="eastAsia" w:ascii="宋体" w:hAnsi="宋体" w:eastAsia="宋体" w:cs="宋体"/>
          <w:color w:val="auto"/>
          <w:spacing w:val="2"/>
          <w:sz w:val="24"/>
          <w:szCs w:val="24"/>
        </w:rPr>
        <w:t>为</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u w:val="single" w:color="FF0000"/>
          <w:lang w:val="en-US" w:eastAsia="zh-CN"/>
        </w:rPr>
        <w:t>2</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rPr>
        <w:t>座/格。消防水池设于</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u w:val="single" w:color="FF0000"/>
          <w:lang w:val="en-US" w:eastAsia="zh-CN"/>
        </w:rPr>
        <w:t>地下1</w:t>
      </w:r>
      <w:r>
        <w:rPr>
          <w:rFonts w:hint="eastAsia" w:ascii="宋体" w:hAnsi="宋体" w:eastAsia="宋体" w:cs="宋体"/>
          <w:color w:val="auto"/>
          <w:spacing w:val="7"/>
          <w:sz w:val="24"/>
          <w:szCs w:val="24"/>
          <w:u w:val="single" w:color="FF0000"/>
        </w:rPr>
        <w:t xml:space="preserve">   </w:t>
      </w:r>
      <w:r>
        <w:rPr>
          <w:rFonts w:hint="eastAsia" w:ascii="宋体" w:hAnsi="宋体" w:eastAsia="宋体" w:cs="宋体"/>
          <w:color w:val="auto"/>
          <w:spacing w:val="-98"/>
          <w:sz w:val="24"/>
          <w:szCs w:val="24"/>
        </w:rPr>
        <w:t xml:space="preserve"> </w:t>
      </w:r>
      <w:r>
        <w:rPr>
          <w:rFonts w:hint="eastAsia" w:ascii="宋体" w:hAnsi="宋体" w:eastAsia="宋体" w:cs="宋体"/>
          <w:color w:val="auto"/>
          <w:spacing w:val="2"/>
          <w:sz w:val="24"/>
          <w:szCs w:val="24"/>
        </w:rPr>
        <w:t>层，消火栓加压给水泵设于地下</w:t>
      </w:r>
      <w:r>
        <w:rPr>
          <w:rFonts w:hint="eastAsia" w:ascii="宋体" w:hAnsi="宋体" w:eastAsia="宋体" w:cs="宋体"/>
          <w:color w:val="auto"/>
          <w:spacing w:val="8"/>
          <w:sz w:val="24"/>
          <w:szCs w:val="24"/>
          <w:u w:val="single" w:color="FF0000"/>
        </w:rPr>
        <w:t xml:space="preserve">  </w:t>
      </w:r>
    </w:p>
    <w:p w14:paraId="6BBD734A">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u w:val="single" w:color="FF0000"/>
        </w:rPr>
        <w:t xml:space="preserve">1   </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3"/>
          <w:sz w:val="24"/>
          <w:szCs w:val="24"/>
        </w:rPr>
        <w:t>层消防泵房内，设</w:t>
      </w:r>
      <w:r>
        <w:rPr>
          <w:rFonts w:hint="eastAsia" w:ascii="宋体" w:hAnsi="宋体" w:eastAsia="宋体" w:cs="宋体"/>
          <w:color w:val="auto"/>
          <w:spacing w:val="-3"/>
          <w:sz w:val="24"/>
          <w:szCs w:val="24"/>
          <w:u w:val="single" w:color="FF0000"/>
        </w:rPr>
        <w:t xml:space="preserve">   2  </w:t>
      </w:r>
      <w:r>
        <w:rPr>
          <w:rFonts w:hint="eastAsia" w:ascii="宋体" w:hAnsi="宋体" w:eastAsia="宋体" w:cs="宋体"/>
          <w:color w:val="auto"/>
          <w:spacing w:val="-62"/>
          <w:sz w:val="24"/>
          <w:szCs w:val="24"/>
        </w:rPr>
        <w:t xml:space="preserve"> </w:t>
      </w:r>
      <w:r>
        <w:rPr>
          <w:rFonts w:hint="eastAsia" w:ascii="宋体" w:hAnsi="宋体" w:eastAsia="宋体" w:cs="宋体"/>
          <w:color w:val="auto"/>
          <w:spacing w:val="-3"/>
          <w:sz w:val="24"/>
          <w:szCs w:val="24"/>
        </w:rPr>
        <w:t>台室内消火栓泵，消火栓泵启泵压力开关设</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置参数</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3"/>
          <w:sz w:val="24"/>
          <w:szCs w:val="24"/>
          <w:u w:val="single" w:color="FF0000"/>
          <w:lang w:val="en-US" w:eastAsia="zh-CN"/>
        </w:rPr>
        <w:t xml:space="preserve">  </w:t>
      </w:r>
      <w:r>
        <w:rPr>
          <w:rFonts w:hint="eastAsia" w:ascii="宋体" w:hAnsi="宋体" w:eastAsia="宋体" w:cs="宋体"/>
          <w:color w:val="auto"/>
          <w:spacing w:val="-3"/>
          <w:sz w:val="24"/>
          <w:szCs w:val="24"/>
          <w:u w:val="single" w:color="FF0000"/>
        </w:rPr>
        <w:t xml:space="preserve">0.24    </w:t>
      </w:r>
      <w:r>
        <w:rPr>
          <w:rFonts w:hint="eastAsia" w:ascii="宋体" w:hAnsi="宋体" w:eastAsia="宋体" w:cs="宋体"/>
          <w:color w:val="auto"/>
          <w:spacing w:val="-3"/>
          <w:sz w:val="24"/>
          <w:szCs w:val="24"/>
        </w:rPr>
        <w:t>MPa、流量开关</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3"/>
          <w:sz w:val="24"/>
          <w:szCs w:val="24"/>
          <w:u w:val="single" w:color="FF0000"/>
          <w:lang w:val="en-US" w:eastAsia="zh-CN"/>
        </w:rPr>
        <w:t>2</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3"/>
          <w:sz w:val="24"/>
          <w:szCs w:val="24"/>
        </w:rPr>
        <w:t>L/s。</w:t>
      </w:r>
    </w:p>
    <w:p w14:paraId="285BD6AF">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auto"/>
          <w:sz w:val="24"/>
          <w:szCs w:val="24"/>
        </w:rPr>
      </w:pPr>
      <w:r>
        <w:rPr>
          <w:rFonts w:hint="eastAsia" w:ascii="宋体" w:hAnsi="宋体" w:eastAsia="宋体" w:cs="宋体"/>
          <w:color w:val="auto"/>
          <w:spacing w:val="-3"/>
          <w:sz w:val="24"/>
          <w:szCs w:val="24"/>
        </w:rPr>
        <w:t>4 室内消火栓泵参数：Q=</w:t>
      </w:r>
      <w:r>
        <w:rPr>
          <w:rFonts w:hint="eastAsia" w:ascii="宋体" w:hAnsi="宋体" w:eastAsia="宋体" w:cs="宋体"/>
          <w:color w:val="auto"/>
          <w:spacing w:val="-3"/>
          <w:sz w:val="24"/>
          <w:szCs w:val="24"/>
          <w:u w:val="single" w:color="FF0000"/>
        </w:rPr>
        <w:t xml:space="preserve">   20   </w:t>
      </w:r>
      <w:r>
        <w:rPr>
          <w:rFonts w:hint="eastAsia" w:ascii="宋体" w:hAnsi="宋体" w:eastAsia="宋体" w:cs="宋体"/>
          <w:color w:val="auto"/>
          <w:spacing w:val="-100"/>
          <w:sz w:val="24"/>
          <w:szCs w:val="24"/>
        </w:rPr>
        <w:t xml:space="preserve"> </w:t>
      </w:r>
      <w:r>
        <w:rPr>
          <w:rFonts w:hint="eastAsia" w:ascii="宋体" w:hAnsi="宋体" w:eastAsia="宋体" w:cs="宋体"/>
          <w:color w:val="auto"/>
          <w:spacing w:val="-3"/>
          <w:sz w:val="24"/>
          <w:szCs w:val="24"/>
        </w:rPr>
        <w:t>L/s, H=</w:t>
      </w:r>
      <w:r>
        <w:rPr>
          <w:rFonts w:hint="eastAsia" w:ascii="宋体" w:hAnsi="宋体" w:eastAsia="宋体" w:cs="宋体"/>
          <w:color w:val="auto"/>
          <w:spacing w:val="-3"/>
          <w:sz w:val="24"/>
          <w:szCs w:val="24"/>
          <w:u w:val="single" w:color="FF0000"/>
        </w:rPr>
        <w:t xml:space="preserve">   72</w:t>
      </w:r>
      <w:r>
        <w:rPr>
          <w:rFonts w:hint="eastAsia" w:ascii="宋体" w:hAnsi="宋体" w:eastAsia="宋体" w:cs="宋体"/>
          <w:color w:val="auto"/>
          <w:spacing w:val="59"/>
          <w:sz w:val="24"/>
          <w:szCs w:val="24"/>
          <w:u w:val="single" w:color="FF0000"/>
        </w:rPr>
        <w:t xml:space="preserve">  </w:t>
      </w:r>
      <w:r>
        <w:rPr>
          <w:rFonts w:hint="eastAsia" w:ascii="宋体" w:hAnsi="宋体" w:eastAsia="宋体" w:cs="宋体"/>
          <w:color w:val="auto"/>
          <w:spacing w:val="-3"/>
          <w:sz w:val="24"/>
          <w:szCs w:val="24"/>
        </w:rPr>
        <w:t>m,</w:t>
      </w:r>
      <w:r>
        <w:rPr>
          <w:rFonts w:hint="eastAsia" w:ascii="宋体" w:hAnsi="宋体" w:eastAsia="宋体" w:cs="宋体"/>
          <w:color w:val="auto"/>
          <w:spacing w:val="5"/>
          <w:sz w:val="24"/>
          <w:szCs w:val="24"/>
          <w:u w:val="single" w:color="FF0000"/>
        </w:rPr>
        <w:t xml:space="preserve">  </w:t>
      </w:r>
      <w:r>
        <w:rPr>
          <w:rFonts w:hint="eastAsia" w:ascii="宋体" w:hAnsi="宋体" w:eastAsia="宋体" w:cs="宋体"/>
          <w:color w:val="auto"/>
          <w:spacing w:val="-3"/>
          <w:sz w:val="24"/>
          <w:szCs w:val="24"/>
          <w:u w:val="single" w:color="FF0000"/>
        </w:rPr>
        <w:t xml:space="preserve">2   </w:t>
      </w:r>
      <w:r>
        <w:rPr>
          <w:rFonts w:hint="eastAsia" w:ascii="宋体" w:hAnsi="宋体" w:eastAsia="宋体" w:cs="宋体"/>
          <w:color w:val="auto"/>
          <w:spacing w:val="-62"/>
          <w:sz w:val="24"/>
          <w:szCs w:val="24"/>
        </w:rPr>
        <w:t xml:space="preserve"> </w:t>
      </w:r>
      <w:r>
        <w:rPr>
          <w:rFonts w:hint="eastAsia" w:ascii="宋体" w:hAnsi="宋体" w:eastAsia="宋体" w:cs="宋体"/>
          <w:color w:val="auto"/>
          <w:spacing w:val="-3"/>
          <w:sz w:val="24"/>
          <w:szCs w:val="24"/>
        </w:rPr>
        <w:t>台，</w:t>
      </w:r>
      <w:r>
        <w:rPr>
          <w:rFonts w:hint="eastAsia" w:ascii="宋体" w:hAnsi="宋体" w:eastAsia="宋体" w:cs="宋体"/>
          <w:color w:val="auto"/>
          <w:spacing w:val="5"/>
          <w:sz w:val="24"/>
          <w:szCs w:val="24"/>
          <w:u w:val="single" w:color="FF0000"/>
        </w:rPr>
        <w:t xml:space="preserve">  </w:t>
      </w:r>
      <w:r>
        <w:rPr>
          <w:rFonts w:hint="eastAsia" w:ascii="宋体" w:hAnsi="宋体" w:eastAsia="宋体" w:cs="宋体"/>
          <w:color w:val="auto"/>
          <w:spacing w:val="-3"/>
          <w:sz w:val="24"/>
          <w:szCs w:val="24"/>
          <w:u w:val="single" w:color="FF0000"/>
        </w:rPr>
        <w:t xml:space="preserve">一   </w:t>
      </w:r>
      <w:r>
        <w:rPr>
          <w:rFonts w:hint="eastAsia" w:ascii="宋体" w:hAnsi="宋体" w:eastAsia="宋体" w:cs="宋体"/>
          <w:color w:val="auto"/>
          <w:spacing w:val="-95"/>
          <w:sz w:val="24"/>
          <w:szCs w:val="24"/>
        </w:rPr>
        <w:t xml:space="preserve"> </w:t>
      </w:r>
      <w:r>
        <w:rPr>
          <w:rFonts w:hint="eastAsia" w:ascii="宋体" w:hAnsi="宋体" w:eastAsia="宋体" w:cs="宋体"/>
          <w:color w:val="auto"/>
          <w:spacing w:val="-3"/>
          <w:sz w:val="24"/>
          <w:szCs w:val="24"/>
        </w:rPr>
        <w:t>用</w:t>
      </w:r>
      <w:r>
        <w:rPr>
          <w:rFonts w:hint="eastAsia" w:ascii="宋体" w:hAnsi="宋体" w:eastAsia="宋体" w:cs="宋体"/>
          <w:color w:val="auto"/>
          <w:spacing w:val="-3"/>
          <w:sz w:val="24"/>
          <w:szCs w:val="24"/>
          <w:lang w:val="en-US" w:eastAsia="zh-CN"/>
        </w:rPr>
        <w:t>一</w:t>
      </w:r>
      <w:r>
        <w:rPr>
          <w:rFonts w:hint="eastAsia" w:ascii="宋体" w:hAnsi="宋体" w:eastAsia="宋体" w:cs="宋体"/>
          <w:color w:val="auto"/>
          <w:spacing w:val="-6"/>
          <w:sz w:val="24"/>
          <w:szCs w:val="24"/>
        </w:rPr>
        <w:t>备。</w:t>
      </w:r>
    </w:p>
    <w:p w14:paraId="2DD66B4D">
      <w:pPr>
        <w:keepNext w:val="0"/>
        <w:keepLines/>
        <w:pageBreakBefore w:val="0"/>
        <w:wordWrap/>
        <w:topLinePunct w:val="0"/>
        <w:bidi w:val="0"/>
        <w:spacing w:line="288" w:lineRule="auto"/>
        <w:ind w:left="0" w:leftChars="0" w:right="0" w:rightChars="0" w:firstLine="476" w:firstLineChars="200"/>
        <w:jc w:val="left"/>
        <w:rPr>
          <w:rFonts w:hint="eastAsia" w:ascii="宋体" w:hAnsi="宋体" w:eastAsia="宋体" w:cs="宋体"/>
          <w:color w:val="auto"/>
          <w:sz w:val="24"/>
          <w:szCs w:val="24"/>
        </w:rPr>
      </w:pPr>
      <w:r>
        <w:rPr>
          <w:rFonts w:hint="eastAsia" w:ascii="宋体" w:hAnsi="宋体" w:eastAsia="宋体" w:cs="宋体"/>
          <w:color w:val="auto"/>
          <w:spacing w:val="-1"/>
          <w:sz w:val="24"/>
          <w:szCs w:val="24"/>
        </w:rPr>
        <w:t>5 本建筑物内各层均设消火栓进行保护。</w:t>
      </w:r>
      <w:r>
        <w:rPr>
          <w:rFonts w:hint="eastAsia" w:ascii="宋体" w:hAnsi="宋体" w:eastAsia="宋体" w:cs="宋体"/>
          <w:color w:val="auto"/>
          <w:spacing w:val="-2"/>
          <w:sz w:val="24"/>
          <w:szCs w:val="24"/>
        </w:rPr>
        <w:t>其布置保证室内任何一处，均有</w:t>
      </w:r>
      <w:r>
        <w:rPr>
          <w:rFonts w:hint="eastAsia" w:ascii="宋体" w:hAnsi="宋体" w:eastAsia="宋体" w:cs="宋体"/>
          <w:color w:val="auto"/>
          <w:spacing w:val="3"/>
          <w:sz w:val="24"/>
          <w:szCs w:val="24"/>
          <w:u w:val="single" w:color="FF0000"/>
        </w:rPr>
        <w:t>2</w:t>
      </w:r>
      <w:r>
        <w:rPr>
          <w:rFonts w:hint="eastAsia" w:ascii="宋体" w:hAnsi="宋体" w:eastAsia="宋体" w:cs="宋体"/>
          <w:color w:val="auto"/>
          <w:spacing w:val="3"/>
          <w:sz w:val="24"/>
          <w:szCs w:val="24"/>
        </w:rPr>
        <w:t>股水柱同时到达。灭火水枪的充实水柱不小于</w:t>
      </w:r>
      <w:r>
        <w:rPr>
          <w:rFonts w:hint="eastAsia" w:ascii="宋体" w:hAnsi="宋体" w:eastAsia="宋体" w:cs="宋体"/>
          <w:color w:val="auto"/>
          <w:spacing w:val="-107"/>
          <w:sz w:val="24"/>
          <w:szCs w:val="24"/>
        </w:rPr>
        <w:t xml:space="preserve"> </w:t>
      </w:r>
      <w:r>
        <w:rPr>
          <w:rFonts w:hint="eastAsia" w:ascii="宋体" w:hAnsi="宋体" w:eastAsia="宋体" w:cs="宋体"/>
          <w:color w:val="auto"/>
          <w:spacing w:val="3"/>
          <w:sz w:val="24"/>
          <w:szCs w:val="24"/>
          <w:u w:val="single" w:color="FF0000"/>
        </w:rPr>
        <w:t xml:space="preserve">  10    </w:t>
      </w:r>
      <w:r>
        <w:rPr>
          <w:rFonts w:hint="eastAsia" w:ascii="宋体" w:hAnsi="宋体" w:eastAsia="宋体" w:cs="宋体"/>
          <w:color w:val="auto"/>
          <w:spacing w:val="-112"/>
          <w:sz w:val="24"/>
          <w:szCs w:val="24"/>
        </w:rPr>
        <w:t xml:space="preserve"> </w:t>
      </w:r>
      <w:r>
        <w:rPr>
          <w:rFonts w:hint="eastAsia" w:ascii="宋体" w:hAnsi="宋体" w:eastAsia="宋体" w:cs="宋体"/>
          <w:color w:val="auto"/>
          <w:spacing w:val="3"/>
          <w:sz w:val="24"/>
          <w:szCs w:val="24"/>
        </w:rPr>
        <w:t>m。消火栓栓口动压</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不小于</w:t>
      </w:r>
      <w:r>
        <w:rPr>
          <w:rFonts w:hint="eastAsia" w:ascii="宋体" w:hAnsi="宋体" w:eastAsia="宋体" w:cs="宋体"/>
          <w:color w:val="auto"/>
          <w:spacing w:val="-3"/>
          <w:sz w:val="24"/>
          <w:szCs w:val="24"/>
          <w:u w:val="single" w:color="FF0000"/>
        </w:rPr>
        <w:t xml:space="preserve">  0.25  </w:t>
      </w:r>
      <w:r>
        <w:rPr>
          <w:rFonts w:hint="eastAsia" w:ascii="宋体" w:hAnsi="宋体" w:eastAsia="宋体" w:cs="宋体"/>
          <w:color w:val="auto"/>
          <w:spacing w:val="-3"/>
          <w:sz w:val="24"/>
          <w:szCs w:val="24"/>
        </w:rPr>
        <w:t>MPa。</w:t>
      </w:r>
    </w:p>
    <w:p w14:paraId="78653F10">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rPr>
        <w:t>6 在</w:t>
      </w:r>
      <w:r>
        <w:rPr>
          <w:rFonts w:hint="eastAsia" w:ascii="宋体" w:hAnsi="宋体" w:eastAsia="宋体" w:cs="宋体"/>
          <w:color w:val="auto"/>
          <w:spacing w:val="-4"/>
          <w:sz w:val="24"/>
          <w:szCs w:val="24"/>
          <w:u w:val="single" w:color="FF0000"/>
        </w:rPr>
        <w:t xml:space="preserve"> 本 </w:t>
      </w:r>
      <w:r>
        <w:rPr>
          <w:rFonts w:hint="eastAsia" w:ascii="宋体" w:hAnsi="宋体" w:eastAsia="宋体" w:cs="宋体"/>
          <w:color w:val="auto"/>
          <w:spacing w:val="-102"/>
          <w:sz w:val="24"/>
          <w:szCs w:val="24"/>
        </w:rPr>
        <w:t xml:space="preserve"> </w:t>
      </w:r>
      <w:r>
        <w:rPr>
          <w:rFonts w:hint="eastAsia" w:ascii="宋体" w:hAnsi="宋体" w:eastAsia="宋体" w:cs="宋体"/>
          <w:color w:val="auto"/>
          <w:spacing w:val="-4"/>
          <w:sz w:val="24"/>
          <w:szCs w:val="24"/>
        </w:rPr>
        <w:t>栋屋顶设置高位消防水箱（与喷淋系统共用</w:t>
      </w:r>
      <w:r>
        <w:rPr>
          <w:rFonts w:hint="eastAsia" w:ascii="宋体" w:hAnsi="宋体" w:eastAsia="宋体" w:cs="宋体"/>
          <w:color w:val="auto"/>
          <w:spacing w:val="15"/>
          <w:sz w:val="24"/>
          <w:szCs w:val="24"/>
        </w:rPr>
        <w:t>），</w:t>
      </w:r>
      <w:r>
        <w:rPr>
          <w:rFonts w:hint="eastAsia" w:ascii="宋体" w:hAnsi="宋体" w:eastAsia="宋体" w:cs="宋体"/>
          <w:color w:val="auto"/>
          <w:spacing w:val="-4"/>
          <w:sz w:val="24"/>
          <w:szCs w:val="24"/>
        </w:rPr>
        <w:t>有效容积</w:t>
      </w:r>
      <w:r>
        <w:rPr>
          <w:rFonts w:hint="eastAsia" w:ascii="宋体" w:hAnsi="宋体" w:eastAsia="宋体" w:cs="宋体"/>
          <w:color w:val="auto"/>
          <w:spacing w:val="-4"/>
          <w:sz w:val="24"/>
          <w:szCs w:val="24"/>
          <w:u w:val="single" w:color="FF0000"/>
        </w:rPr>
        <w:t xml:space="preserve"> 18</w:t>
      </w:r>
      <w:r>
        <w:rPr>
          <w:rFonts w:hint="eastAsia" w:ascii="宋体" w:hAnsi="宋体" w:eastAsia="宋体" w:cs="宋体"/>
          <w:color w:val="auto"/>
          <w:spacing w:val="-4"/>
          <w:sz w:val="24"/>
          <w:szCs w:val="24"/>
          <w:u w:val="single" w:color="FF0000"/>
          <w:lang w:val="en-US" w:eastAsia="zh-CN"/>
        </w:rPr>
        <w:t xml:space="preserve"> </w:t>
      </w:r>
      <w:r>
        <w:rPr>
          <w:rFonts w:hint="eastAsia" w:ascii="微软雅黑" w:hAnsi="微软雅黑" w:eastAsia="微软雅黑" w:cs="微软雅黑"/>
          <w:color w:val="auto"/>
          <w:spacing w:val="11"/>
          <w:sz w:val="21"/>
          <w:szCs w:val="21"/>
          <w:u w:val="none"/>
          <w:lang w:val="en-US" w:eastAsia="zh-CN"/>
        </w:rPr>
        <w:t>m³</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lang w:eastAsia="zh-CN"/>
        </w:rPr>
        <w:t>。</w:t>
      </w:r>
    </w:p>
    <w:p w14:paraId="52B78CD2">
      <w:pPr>
        <w:keepNext w:val="0"/>
        <w:keepLines/>
        <w:pageBreakBefore w:val="0"/>
        <w:wordWrap/>
        <w:topLinePunct w:val="0"/>
        <w:bidi w:val="0"/>
        <w:spacing w:line="288" w:lineRule="auto"/>
        <w:ind w:left="0" w:leftChars="0" w:right="0" w:rightChars="0" w:firstLine="460" w:firstLineChars="200"/>
        <w:jc w:val="left"/>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 xml:space="preserve">7 </w:t>
      </w:r>
      <w:r>
        <w:rPr>
          <w:rFonts w:hint="eastAsia" w:ascii="宋体" w:hAnsi="宋体" w:eastAsia="宋体" w:cs="宋体"/>
          <w:color w:val="auto"/>
          <w:spacing w:val="-5"/>
          <w:sz w:val="24"/>
          <w:szCs w:val="24"/>
          <w:u w:val="single" w:color="FF0000"/>
        </w:rPr>
        <w:t xml:space="preserve">   所有  </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5"/>
          <w:sz w:val="24"/>
          <w:szCs w:val="24"/>
        </w:rPr>
        <w:t>区域设置消防软管卷盘。</w:t>
      </w:r>
    </w:p>
    <w:p w14:paraId="785F49A8">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10"/>
          <w:sz w:val="24"/>
          <w:szCs w:val="24"/>
        </w:rPr>
      </w:pPr>
    </w:p>
    <w:p w14:paraId="545C354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10"/>
          <w:sz w:val="24"/>
          <w:szCs w:val="24"/>
        </w:rPr>
        <w:t>4.4</w:t>
      </w:r>
      <w:r>
        <w:rPr>
          <w:rFonts w:hint="eastAsia" w:ascii="宋体" w:hAnsi="宋体" w:eastAsia="宋体" w:cs="宋体"/>
          <w:color w:val="auto"/>
          <w:spacing w:val="102"/>
          <w:sz w:val="24"/>
          <w:szCs w:val="24"/>
        </w:rPr>
        <w:t xml:space="preserve"> </w:t>
      </w:r>
      <w:r>
        <w:rPr>
          <w:rFonts w:hint="eastAsia" w:ascii="宋体" w:hAnsi="宋体" w:eastAsia="宋体" w:cs="宋体"/>
          <w:color w:val="auto"/>
          <w:spacing w:val="-10"/>
          <w:sz w:val="24"/>
          <w:szCs w:val="24"/>
        </w:rPr>
        <w:t>自动喷水灭火系统</w:t>
      </w:r>
    </w:p>
    <w:p w14:paraId="40FFCADA">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5"/>
          <w:sz w:val="24"/>
          <w:szCs w:val="24"/>
        </w:rPr>
        <w:t>4.4.1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rPr>
        <w:t>自动喷水灭火系统设计用水量</w:t>
      </w:r>
      <w:r>
        <w:rPr>
          <w:rFonts w:hint="eastAsia" w:ascii="宋体" w:hAnsi="宋体" w:eastAsia="宋体" w:cs="宋体"/>
          <w:color w:val="auto"/>
          <w:spacing w:val="-5"/>
          <w:sz w:val="24"/>
          <w:szCs w:val="24"/>
          <w:u w:val="single" w:color="FF0000"/>
        </w:rPr>
        <w:t xml:space="preserve">  126    </w:t>
      </w:r>
      <w:r>
        <w:rPr>
          <w:rFonts w:hint="eastAsia" w:ascii="宋体" w:hAnsi="宋体" w:eastAsia="宋体" w:cs="宋体"/>
          <w:color w:val="auto"/>
          <w:spacing w:val="-116"/>
          <w:sz w:val="24"/>
          <w:szCs w:val="24"/>
        </w:rPr>
        <w:t xml:space="preserve"> </w:t>
      </w:r>
      <w:r>
        <w:rPr>
          <w:rFonts w:hint="eastAsia" w:ascii="宋体" w:hAnsi="宋体" w:eastAsia="宋体" w:cs="宋体"/>
          <w:color w:val="auto"/>
          <w:spacing w:val="-5"/>
          <w:sz w:val="24"/>
          <w:szCs w:val="24"/>
        </w:rPr>
        <w:t>m³。</w:t>
      </w:r>
    </w:p>
    <w:p w14:paraId="0314AAF8">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5"/>
          <w:sz w:val="24"/>
          <w:szCs w:val="24"/>
        </w:rPr>
        <w:t>4.4.2</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5"/>
          <w:sz w:val="24"/>
          <w:szCs w:val="24"/>
        </w:rPr>
        <w:t>系统设计</w:t>
      </w:r>
    </w:p>
    <w:p w14:paraId="4E604A5F">
      <w:pPr>
        <w:keepNext w:val="0"/>
        <w:keepLines/>
        <w:pageBreakBefore w:val="0"/>
        <w:wordWrap/>
        <w:topLinePunct w:val="0"/>
        <w:bidi w:val="0"/>
        <w:spacing w:line="288" w:lineRule="auto"/>
        <w:ind w:left="0" w:leftChars="0" w:right="0" w:rightChars="0" w:firstLine="436" w:firstLineChars="200"/>
        <w:jc w:val="left"/>
        <w:rPr>
          <w:rFonts w:hint="eastAsia" w:ascii="宋体" w:hAnsi="宋体" w:eastAsia="宋体" w:cs="宋体"/>
          <w:color w:val="auto"/>
          <w:sz w:val="24"/>
          <w:szCs w:val="24"/>
        </w:rPr>
      </w:pPr>
      <w:r>
        <w:rPr>
          <w:rFonts w:hint="eastAsia" w:ascii="宋体" w:hAnsi="宋体" w:eastAsia="宋体" w:cs="宋体"/>
          <w:color w:val="auto"/>
          <w:spacing w:val="-11"/>
          <w:sz w:val="24"/>
          <w:szCs w:val="24"/>
        </w:rPr>
        <w:t>1  自动喷水灭火系统分</w:t>
      </w:r>
      <w:r>
        <w:rPr>
          <w:rFonts w:hint="eastAsia" w:ascii="宋体" w:hAnsi="宋体" w:eastAsia="宋体" w:cs="宋体"/>
          <w:color w:val="auto"/>
          <w:spacing w:val="11"/>
          <w:sz w:val="24"/>
          <w:szCs w:val="24"/>
          <w:u w:val="single" w:color="FF0000"/>
        </w:rPr>
        <w:t xml:space="preserve">   </w:t>
      </w:r>
      <w:r>
        <w:rPr>
          <w:rFonts w:hint="eastAsia" w:ascii="宋体" w:hAnsi="宋体" w:eastAsia="宋体" w:cs="宋体"/>
          <w:color w:val="auto"/>
          <w:spacing w:val="-11"/>
          <w:sz w:val="24"/>
          <w:szCs w:val="24"/>
          <w:u w:val="single" w:color="FF0000"/>
        </w:rPr>
        <w:t>1</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1"/>
          <w:sz w:val="24"/>
          <w:szCs w:val="24"/>
        </w:rPr>
        <w:t>个区，</w:t>
      </w:r>
      <w:r>
        <w:rPr>
          <w:rFonts w:hint="eastAsia" w:ascii="宋体" w:hAnsi="宋体" w:eastAsia="宋体" w:cs="宋体"/>
          <w:color w:val="auto"/>
          <w:spacing w:val="5"/>
          <w:sz w:val="24"/>
          <w:szCs w:val="24"/>
          <w:u w:val="single" w:color="FF0000"/>
        </w:rPr>
        <w:t xml:space="preserve">   </w:t>
      </w:r>
      <w:r>
        <w:rPr>
          <w:rFonts w:hint="eastAsia" w:ascii="宋体" w:hAnsi="宋体" w:eastAsia="宋体" w:cs="宋体"/>
          <w:color w:val="auto"/>
          <w:spacing w:val="5"/>
          <w:sz w:val="24"/>
          <w:szCs w:val="24"/>
          <w:u w:val="single" w:color="FF0000"/>
          <w:lang w:val="en-US" w:eastAsia="zh-CN"/>
        </w:rPr>
        <w:t>-</w:t>
      </w:r>
      <w:r>
        <w:rPr>
          <w:rFonts w:hint="eastAsia" w:ascii="宋体" w:hAnsi="宋体" w:eastAsia="宋体" w:cs="宋体"/>
          <w:color w:val="auto"/>
          <w:spacing w:val="-11"/>
          <w:sz w:val="24"/>
          <w:szCs w:val="24"/>
          <w:u w:val="single" w:color="FF0000"/>
        </w:rPr>
        <w:t xml:space="preserve">1    </w:t>
      </w:r>
      <w:r>
        <w:rPr>
          <w:rFonts w:hint="eastAsia" w:ascii="宋体" w:hAnsi="宋体" w:eastAsia="宋体" w:cs="宋体"/>
          <w:color w:val="auto"/>
          <w:spacing w:val="-101"/>
          <w:sz w:val="24"/>
          <w:szCs w:val="24"/>
        </w:rPr>
        <w:t xml:space="preserve"> </w:t>
      </w:r>
      <w:r>
        <w:rPr>
          <w:rFonts w:hint="eastAsia" w:ascii="宋体" w:hAnsi="宋体" w:eastAsia="宋体" w:cs="宋体"/>
          <w:color w:val="auto"/>
          <w:spacing w:val="-11"/>
          <w:sz w:val="24"/>
          <w:szCs w:val="24"/>
        </w:rPr>
        <w:t>层～</w:t>
      </w:r>
      <w:r>
        <w:rPr>
          <w:rFonts w:hint="eastAsia" w:ascii="宋体" w:hAnsi="宋体" w:eastAsia="宋体" w:cs="宋体"/>
          <w:color w:val="auto"/>
          <w:spacing w:val="-79"/>
          <w:sz w:val="24"/>
          <w:szCs w:val="24"/>
        </w:rPr>
        <w:t xml:space="preserve"> </w:t>
      </w:r>
      <w:r>
        <w:rPr>
          <w:rFonts w:hint="eastAsia" w:ascii="宋体" w:hAnsi="宋体" w:eastAsia="宋体" w:cs="宋体"/>
          <w:color w:val="auto"/>
          <w:spacing w:val="9"/>
          <w:sz w:val="24"/>
          <w:szCs w:val="24"/>
          <w:u w:val="single" w:color="FF0000"/>
        </w:rPr>
        <w:t xml:space="preserve">  </w:t>
      </w:r>
      <w:r>
        <w:rPr>
          <w:rFonts w:hint="eastAsia" w:ascii="宋体" w:hAnsi="宋体" w:eastAsia="宋体" w:cs="宋体"/>
          <w:color w:val="auto"/>
          <w:spacing w:val="-11"/>
          <w:sz w:val="24"/>
          <w:szCs w:val="24"/>
          <w:u w:val="single" w:color="FF0000"/>
        </w:rPr>
        <w:t>4</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1"/>
          <w:sz w:val="24"/>
          <w:szCs w:val="24"/>
        </w:rPr>
        <w:t>层</w:t>
      </w:r>
      <w:r>
        <w:rPr>
          <w:rFonts w:hint="eastAsia" w:ascii="宋体" w:hAnsi="宋体" w:eastAsia="宋体" w:cs="宋体"/>
          <w:color w:val="auto"/>
          <w:spacing w:val="-12"/>
          <w:sz w:val="24"/>
          <w:szCs w:val="24"/>
        </w:rPr>
        <w:t>为</w:t>
      </w:r>
      <w:r>
        <w:rPr>
          <w:rFonts w:hint="eastAsia" w:ascii="宋体" w:hAnsi="宋体" w:eastAsia="宋体" w:cs="宋体"/>
          <w:color w:val="auto"/>
          <w:spacing w:val="12"/>
          <w:sz w:val="24"/>
          <w:szCs w:val="24"/>
          <w:u w:val="single" w:color="FF0000"/>
        </w:rPr>
        <w:t xml:space="preserve">   </w:t>
      </w:r>
      <w:r>
        <w:rPr>
          <w:rFonts w:hint="eastAsia" w:ascii="宋体" w:hAnsi="宋体" w:eastAsia="宋体" w:cs="宋体"/>
          <w:color w:val="auto"/>
          <w:spacing w:val="-12"/>
          <w:sz w:val="24"/>
          <w:szCs w:val="24"/>
          <w:u w:val="single" w:color="FF0000"/>
        </w:rPr>
        <w:t>1</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1"/>
          <w:sz w:val="24"/>
          <w:szCs w:val="24"/>
        </w:rPr>
        <w:t>区，由</w:t>
      </w:r>
      <w:r>
        <w:rPr>
          <w:rFonts w:hint="eastAsia" w:ascii="宋体" w:hAnsi="宋体" w:eastAsia="宋体" w:cs="宋体"/>
          <w:color w:val="auto"/>
          <w:spacing w:val="-11"/>
          <w:sz w:val="24"/>
          <w:szCs w:val="24"/>
          <w:u w:val="single" w:color="FF0000"/>
        </w:rPr>
        <w:t xml:space="preserve">  </w:t>
      </w:r>
      <w:r>
        <w:rPr>
          <w:rFonts w:hint="eastAsia" w:ascii="宋体" w:hAnsi="宋体" w:eastAsia="宋体" w:cs="宋体"/>
          <w:color w:val="auto"/>
          <w:spacing w:val="-11"/>
          <w:sz w:val="24"/>
          <w:szCs w:val="24"/>
          <w:u w:val="single" w:color="FF0000"/>
          <w:lang w:val="en-US" w:eastAsia="zh-CN"/>
        </w:rPr>
        <w:t>喷淋加压泵</w:t>
      </w:r>
      <w:r>
        <w:rPr>
          <w:rFonts w:hint="eastAsia" w:ascii="宋体" w:hAnsi="宋体" w:eastAsia="宋体" w:cs="宋体"/>
          <w:color w:val="auto"/>
          <w:spacing w:val="-11"/>
          <w:sz w:val="24"/>
          <w:szCs w:val="24"/>
          <w:u w:val="single" w:color="FF0000"/>
        </w:rPr>
        <w:t xml:space="preserve"> </w:t>
      </w:r>
      <w:r>
        <w:rPr>
          <w:rFonts w:hint="eastAsia" w:ascii="宋体" w:hAnsi="宋体" w:eastAsia="宋体" w:cs="宋体"/>
          <w:color w:val="auto"/>
          <w:spacing w:val="-101"/>
          <w:sz w:val="24"/>
          <w:szCs w:val="24"/>
        </w:rPr>
        <w:t xml:space="preserve"> </w:t>
      </w:r>
      <w:r>
        <w:rPr>
          <w:rFonts w:hint="eastAsia" w:ascii="宋体" w:hAnsi="宋体" w:eastAsia="宋体" w:cs="宋体"/>
          <w:color w:val="auto"/>
          <w:spacing w:val="-11"/>
          <w:sz w:val="24"/>
          <w:szCs w:val="24"/>
        </w:rPr>
        <w:t>供水；</w:t>
      </w:r>
    </w:p>
    <w:p w14:paraId="0A976721">
      <w:pPr>
        <w:keepNext w:val="0"/>
        <w:keepLines/>
        <w:pageBreakBefore w:val="0"/>
        <w:wordWrap/>
        <w:topLinePunct w:val="0"/>
        <w:bidi w:val="0"/>
        <w:spacing w:line="288" w:lineRule="auto"/>
        <w:ind w:left="0" w:leftChars="0" w:right="0" w:rightChars="0" w:firstLine="484" w:firstLineChars="200"/>
        <w:jc w:val="left"/>
        <w:rPr>
          <w:rFonts w:hint="eastAsia" w:ascii="宋体" w:hAnsi="宋体" w:eastAsia="宋体" w:cs="宋体"/>
          <w:color w:val="auto"/>
          <w:sz w:val="24"/>
          <w:szCs w:val="24"/>
        </w:rPr>
      </w:pPr>
      <w:r>
        <w:rPr>
          <w:rFonts w:hint="eastAsia" w:ascii="宋体" w:hAnsi="宋体" w:eastAsia="宋体" w:cs="宋体"/>
          <w:color w:val="auto"/>
          <w:spacing w:val="1"/>
          <w:sz w:val="24"/>
          <w:szCs w:val="24"/>
        </w:rPr>
        <w:t>2 地下</w:t>
      </w:r>
      <w:r>
        <w:rPr>
          <w:rFonts w:hint="eastAsia" w:ascii="宋体" w:hAnsi="宋体" w:eastAsia="宋体" w:cs="宋体"/>
          <w:color w:val="auto"/>
          <w:spacing w:val="-96"/>
          <w:sz w:val="24"/>
          <w:szCs w:val="24"/>
        </w:rPr>
        <w:t xml:space="preserve"> </w:t>
      </w:r>
      <w:r>
        <w:rPr>
          <w:rFonts w:hint="eastAsia" w:ascii="宋体" w:hAnsi="宋体" w:eastAsia="宋体" w:cs="宋体"/>
          <w:color w:val="auto"/>
          <w:spacing w:val="1"/>
          <w:sz w:val="24"/>
          <w:szCs w:val="24"/>
          <w:u w:val="single" w:color="FF0000"/>
        </w:rPr>
        <w:t xml:space="preserve">  1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
          <w:sz w:val="24"/>
          <w:szCs w:val="24"/>
        </w:rPr>
        <w:t>层消防水泵房设置</w:t>
      </w:r>
      <w:r>
        <w:rPr>
          <w:rFonts w:hint="eastAsia" w:ascii="宋体" w:hAnsi="宋体" w:eastAsia="宋体" w:cs="宋体"/>
          <w:color w:val="auto"/>
          <w:spacing w:val="-115"/>
          <w:sz w:val="24"/>
          <w:szCs w:val="24"/>
        </w:rPr>
        <w:t xml:space="preserve"> </w:t>
      </w:r>
      <w:r>
        <w:rPr>
          <w:rFonts w:hint="eastAsia" w:ascii="宋体" w:hAnsi="宋体" w:eastAsia="宋体" w:cs="宋体"/>
          <w:color w:val="auto"/>
          <w:spacing w:val="16"/>
          <w:sz w:val="24"/>
          <w:szCs w:val="24"/>
          <w:u w:val="single" w:color="FF0000"/>
        </w:rPr>
        <w:t xml:space="preserve">  </w:t>
      </w:r>
      <w:r>
        <w:rPr>
          <w:rFonts w:hint="eastAsia" w:ascii="宋体" w:hAnsi="宋体" w:eastAsia="宋体" w:cs="宋体"/>
          <w:color w:val="auto"/>
          <w:spacing w:val="1"/>
          <w:sz w:val="24"/>
          <w:szCs w:val="24"/>
          <w:u w:val="single" w:color="FF0000"/>
        </w:rPr>
        <w:t>792</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107"/>
          <w:sz w:val="24"/>
          <w:szCs w:val="24"/>
        </w:rPr>
        <w:t xml:space="preserve"> </w:t>
      </w:r>
      <w:r>
        <w:rPr>
          <w:rFonts w:hint="eastAsia" w:ascii="宋体" w:hAnsi="宋体" w:eastAsia="宋体" w:cs="宋体"/>
          <w:color w:val="auto"/>
          <w:sz w:val="24"/>
          <w:szCs w:val="24"/>
        </w:rPr>
        <w:t>m³消防水池和一组喷淋泵，喷淋</w:t>
      </w:r>
      <w:r>
        <w:rPr>
          <w:rFonts w:hint="eastAsia" w:ascii="宋体" w:hAnsi="宋体" w:eastAsia="宋体" w:cs="宋体"/>
          <w:color w:val="auto"/>
          <w:spacing w:val="-1"/>
          <w:sz w:val="24"/>
          <w:szCs w:val="24"/>
        </w:rPr>
        <w:t>泵启泵压力开关设置参数</w:t>
      </w:r>
      <w:r>
        <w:rPr>
          <w:rFonts w:hint="eastAsia" w:ascii="宋体" w:hAnsi="宋体" w:eastAsia="宋体" w:cs="宋体"/>
          <w:color w:val="auto"/>
          <w:spacing w:val="-1"/>
          <w:sz w:val="24"/>
          <w:szCs w:val="24"/>
          <w:u w:val="single" w:color="FF0000"/>
        </w:rPr>
        <w:t xml:space="preserve">  0.35   </w:t>
      </w:r>
      <w:r>
        <w:rPr>
          <w:rFonts w:hint="eastAsia" w:ascii="宋体" w:hAnsi="宋体" w:eastAsia="宋体" w:cs="宋体"/>
          <w:color w:val="auto"/>
          <w:spacing w:val="-1"/>
          <w:sz w:val="24"/>
          <w:szCs w:val="24"/>
        </w:rPr>
        <w:t>MPa、流量开关</w:t>
      </w:r>
      <w:r>
        <w:rPr>
          <w:rFonts w:hint="eastAsia" w:ascii="宋体" w:hAnsi="宋体" w:eastAsia="宋体" w:cs="宋体"/>
          <w:color w:val="auto"/>
          <w:spacing w:val="-2"/>
          <w:sz w:val="24"/>
          <w:szCs w:val="24"/>
          <w:u w:val="single" w:color="FF0000"/>
        </w:rPr>
        <w:t xml:space="preserve">   1</w:t>
      </w:r>
      <w:r>
        <w:rPr>
          <w:rFonts w:hint="eastAsia" w:ascii="宋体" w:hAnsi="宋体" w:eastAsia="宋体" w:cs="宋体"/>
          <w:color w:val="auto"/>
          <w:spacing w:val="-2"/>
          <w:sz w:val="24"/>
          <w:szCs w:val="24"/>
          <w:u w:val="single" w:color="FF0000"/>
          <w:lang w:val="en-US" w:eastAsia="zh-CN"/>
        </w:rPr>
        <w:t>.2</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2"/>
          <w:sz w:val="24"/>
          <w:szCs w:val="24"/>
        </w:rPr>
        <w:t>L/s。</w:t>
      </w:r>
    </w:p>
    <w:p w14:paraId="4573EA03">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3 喷淋泵参数：Q=</w:t>
      </w:r>
      <w:r>
        <w:rPr>
          <w:rFonts w:hint="eastAsia" w:ascii="宋体" w:hAnsi="宋体" w:eastAsia="宋体" w:cs="宋体"/>
          <w:color w:val="auto"/>
          <w:spacing w:val="-4"/>
          <w:sz w:val="24"/>
          <w:szCs w:val="24"/>
          <w:u w:val="single" w:color="FF0000"/>
        </w:rPr>
        <w:t xml:space="preserve">   69 </w:t>
      </w:r>
      <w:r>
        <w:rPr>
          <w:rFonts w:hint="eastAsia" w:ascii="宋体" w:hAnsi="宋体" w:eastAsia="宋体" w:cs="宋体"/>
          <w:color w:val="auto"/>
          <w:spacing w:val="-96"/>
          <w:sz w:val="24"/>
          <w:szCs w:val="24"/>
        </w:rPr>
        <w:t xml:space="preserve"> </w:t>
      </w:r>
      <w:r>
        <w:rPr>
          <w:rFonts w:hint="eastAsia" w:ascii="宋体" w:hAnsi="宋体" w:eastAsia="宋体" w:cs="宋体"/>
          <w:color w:val="auto"/>
          <w:spacing w:val="-4"/>
          <w:sz w:val="24"/>
          <w:szCs w:val="24"/>
        </w:rPr>
        <w:t>L/s, H=</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4"/>
          <w:sz w:val="24"/>
          <w:szCs w:val="24"/>
          <w:u w:val="single" w:color="FF0000"/>
          <w:lang w:val="en-US" w:eastAsia="zh-CN"/>
        </w:rPr>
        <w:t xml:space="preserve">75 </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116"/>
          <w:sz w:val="24"/>
          <w:szCs w:val="24"/>
        </w:rPr>
        <w:t xml:space="preserve"> </w:t>
      </w:r>
      <w:r>
        <w:rPr>
          <w:rFonts w:hint="eastAsia" w:ascii="宋体" w:hAnsi="宋体" w:eastAsia="宋体" w:cs="宋体"/>
          <w:color w:val="auto"/>
          <w:spacing w:val="-4"/>
          <w:sz w:val="24"/>
          <w:szCs w:val="24"/>
        </w:rPr>
        <w:t>m,</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4"/>
          <w:sz w:val="24"/>
          <w:szCs w:val="24"/>
          <w:u w:val="single" w:color="FF0000"/>
        </w:rPr>
        <w:t>2</w:t>
      </w:r>
      <w:r>
        <w:rPr>
          <w:rFonts w:hint="eastAsia" w:ascii="宋体" w:hAnsi="宋体" w:eastAsia="宋体" w:cs="宋体"/>
          <w:color w:val="auto"/>
          <w:spacing w:val="120"/>
          <w:sz w:val="24"/>
          <w:szCs w:val="24"/>
          <w:u w:val="single" w:color="FF0000"/>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4"/>
          <w:sz w:val="24"/>
          <w:szCs w:val="24"/>
        </w:rPr>
        <w:t>台，</w:t>
      </w:r>
      <w:r>
        <w:rPr>
          <w:rFonts w:hint="eastAsia" w:ascii="宋体" w:hAnsi="宋体" w:eastAsia="宋体" w:cs="宋体"/>
          <w:color w:val="auto"/>
          <w:spacing w:val="4"/>
          <w:sz w:val="24"/>
          <w:szCs w:val="24"/>
          <w:u w:val="single" w:color="FF0000"/>
        </w:rPr>
        <w:t xml:space="preserve">   </w:t>
      </w:r>
      <w:r>
        <w:rPr>
          <w:rFonts w:hint="eastAsia" w:ascii="宋体" w:hAnsi="宋体" w:eastAsia="宋体" w:cs="宋体"/>
          <w:color w:val="auto"/>
          <w:spacing w:val="-4"/>
          <w:sz w:val="24"/>
          <w:szCs w:val="24"/>
          <w:u w:val="single" w:color="FF0000"/>
        </w:rPr>
        <w:t>一</w:t>
      </w:r>
      <w:r>
        <w:rPr>
          <w:rFonts w:hint="eastAsia" w:ascii="宋体" w:hAnsi="宋体" w:eastAsia="宋体" w:cs="宋体"/>
          <w:color w:val="auto"/>
          <w:spacing w:val="121"/>
          <w:sz w:val="24"/>
          <w:szCs w:val="24"/>
          <w:u w:val="single" w:color="FF0000"/>
        </w:rPr>
        <w:t xml:space="preserve"> </w:t>
      </w:r>
      <w:r>
        <w:rPr>
          <w:rFonts w:hint="eastAsia" w:ascii="宋体" w:hAnsi="宋体" w:eastAsia="宋体" w:cs="宋体"/>
          <w:color w:val="auto"/>
          <w:spacing w:val="-98"/>
          <w:sz w:val="24"/>
          <w:szCs w:val="24"/>
        </w:rPr>
        <w:t xml:space="preserve"> </w:t>
      </w:r>
      <w:r>
        <w:rPr>
          <w:rFonts w:hint="eastAsia" w:ascii="宋体" w:hAnsi="宋体" w:eastAsia="宋体" w:cs="宋体"/>
          <w:color w:val="auto"/>
          <w:spacing w:val="-4"/>
          <w:sz w:val="24"/>
          <w:szCs w:val="24"/>
        </w:rPr>
        <w:t>用一备。</w:t>
      </w:r>
    </w:p>
    <w:p w14:paraId="5F4751DC">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 在</w:t>
      </w:r>
      <w:r>
        <w:rPr>
          <w:rFonts w:hint="eastAsia" w:ascii="宋体" w:hAnsi="宋体" w:eastAsia="宋体" w:cs="宋体"/>
          <w:color w:val="auto"/>
          <w:sz w:val="24"/>
          <w:szCs w:val="24"/>
          <w:u w:val="single" w:color="FF0000"/>
        </w:rPr>
        <w:t xml:space="preserve">   本栋  </w:t>
      </w:r>
      <w:r>
        <w:rPr>
          <w:rFonts w:hint="eastAsia" w:ascii="宋体" w:hAnsi="宋体" w:eastAsia="宋体" w:cs="宋体"/>
          <w:color w:val="auto"/>
          <w:spacing w:val="-92"/>
          <w:sz w:val="24"/>
          <w:szCs w:val="24"/>
        </w:rPr>
        <w:t xml:space="preserve"> </w:t>
      </w:r>
      <w:r>
        <w:rPr>
          <w:rFonts w:hint="eastAsia" w:ascii="宋体" w:hAnsi="宋体" w:eastAsia="宋体" w:cs="宋体"/>
          <w:color w:val="auto"/>
          <w:sz w:val="24"/>
          <w:szCs w:val="24"/>
        </w:rPr>
        <w:t>屋顶设置消防水箱，贮存消防水量</w:t>
      </w:r>
      <w:r>
        <w:rPr>
          <w:rFonts w:hint="eastAsia" w:ascii="宋体" w:hAnsi="宋体" w:eastAsia="宋体" w:cs="宋体"/>
          <w:color w:val="auto"/>
          <w:sz w:val="24"/>
          <w:szCs w:val="24"/>
          <w:u w:val="single" w:color="FF0000"/>
        </w:rPr>
        <w:t xml:space="preserve">  18</w:t>
      </w:r>
      <w:r>
        <w:rPr>
          <w:rFonts w:hint="eastAsia" w:ascii="宋体" w:hAnsi="宋体" w:eastAsia="宋体" w:cs="宋体"/>
          <w:color w:val="auto"/>
          <w:spacing w:val="1"/>
          <w:sz w:val="24"/>
          <w:szCs w:val="24"/>
          <w:u w:val="single" w:color="FF0000"/>
        </w:rPr>
        <w:t xml:space="preserve">   </w:t>
      </w:r>
      <w:r>
        <w:rPr>
          <w:rFonts w:hint="eastAsia" w:ascii="宋体" w:hAnsi="宋体" w:eastAsia="宋体" w:cs="宋体"/>
          <w:color w:val="auto"/>
          <w:spacing w:val="-111"/>
          <w:sz w:val="24"/>
          <w:szCs w:val="24"/>
        </w:rPr>
        <w:t xml:space="preserve"> </w:t>
      </w:r>
      <w:r>
        <w:rPr>
          <w:rFonts w:hint="eastAsia" w:ascii="宋体" w:hAnsi="宋体" w:eastAsia="宋体" w:cs="宋体"/>
          <w:color w:val="auto"/>
          <w:sz w:val="24"/>
          <w:szCs w:val="24"/>
        </w:rPr>
        <w:t>m³,与消火栓系统</w:t>
      </w:r>
      <w:r>
        <w:rPr>
          <w:rFonts w:hint="eastAsia" w:ascii="宋体" w:hAnsi="宋体" w:eastAsia="宋体" w:cs="宋体"/>
          <w:color w:val="auto"/>
          <w:spacing w:val="-2"/>
          <w:sz w:val="24"/>
          <w:szCs w:val="24"/>
        </w:rPr>
        <w:t>合用。 并设置喷淋稳压设备以保证火灾初期供水并维持管网平时压力</w:t>
      </w:r>
      <w:r>
        <w:rPr>
          <w:rFonts w:hint="eastAsia" w:ascii="宋体" w:hAnsi="宋体" w:eastAsia="宋体" w:cs="宋体"/>
          <w:color w:val="auto"/>
          <w:spacing w:val="-3"/>
          <w:sz w:val="24"/>
          <w:szCs w:val="24"/>
        </w:rPr>
        <w:t>。稳压设</w:t>
      </w:r>
      <w:r>
        <w:rPr>
          <w:rFonts w:hint="eastAsia" w:ascii="宋体" w:hAnsi="宋体" w:eastAsia="宋体" w:cs="宋体"/>
          <w:color w:val="auto"/>
          <w:spacing w:val="-1"/>
          <w:sz w:val="24"/>
          <w:szCs w:val="24"/>
        </w:rPr>
        <w:t>备参数：Q=</w:t>
      </w:r>
      <w:r>
        <w:rPr>
          <w:rFonts w:hint="eastAsia" w:ascii="宋体" w:hAnsi="宋体" w:eastAsia="宋体" w:cs="宋体"/>
          <w:color w:val="auto"/>
          <w:spacing w:val="-1"/>
          <w:sz w:val="24"/>
          <w:szCs w:val="24"/>
          <w:u w:val="single" w:color="FF0000"/>
        </w:rPr>
        <w:t xml:space="preserve"> 1 </w:t>
      </w:r>
      <w:r>
        <w:rPr>
          <w:rFonts w:hint="eastAsia" w:ascii="宋体" w:hAnsi="宋体" w:eastAsia="宋体" w:cs="宋体"/>
          <w:color w:val="auto"/>
          <w:spacing w:val="-1"/>
          <w:sz w:val="24"/>
          <w:szCs w:val="24"/>
        </w:rPr>
        <w:t>L/s, H=</w:t>
      </w:r>
      <w:r>
        <w:rPr>
          <w:rFonts w:hint="eastAsia" w:ascii="宋体" w:hAnsi="宋体" w:eastAsia="宋体" w:cs="宋体"/>
          <w:color w:val="auto"/>
          <w:spacing w:val="6"/>
          <w:sz w:val="24"/>
          <w:szCs w:val="24"/>
          <w:u w:val="single" w:color="FF0000"/>
        </w:rPr>
        <w:t xml:space="preserve">  </w:t>
      </w:r>
      <w:r>
        <w:rPr>
          <w:rFonts w:hint="eastAsia" w:ascii="宋体" w:hAnsi="宋体" w:eastAsia="宋体" w:cs="宋体"/>
          <w:color w:val="auto"/>
          <w:spacing w:val="-1"/>
          <w:sz w:val="24"/>
          <w:szCs w:val="24"/>
          <w:u w:val="single" w:color="FF0000"/>
        </w:rPr>
        <w:t xml:space="preserve">30  </w:t>
      </w:r>
      <w:r>
        <w:rPr>
          <w:rFonts w:hint="eastAsia" w:ascii="宋体" w:hAnsi="宋体" w:eastAsia="宋体" w:cs="宋体"/>
          <w:color w:val="auto"/>
          <w:spacing w:val="-117"/>
          <w:sz w:val="24"/>
          <w:szCs w:val="24"/>
        </w:rPr>
        <w:t xml:space="preserve"> </w:t>
      </w:r>
      <w:r>
        <w:rPr>
          <w:rFonts w:hint="eastAsia" w:ascii="宋体" w:hAnsi="宋体" w:eastAsia="宋体" w:cs="宋体"/>
          <w:color w:val="auto"/>
          <w:spacing w:val="-1"/>
          <w:sz w:val="24"/>
          <w:szCs w:val="24"/>
        </w:rPr>
        <w:t>m,两台，互为备用</w:t>
      </w:r>
      <w:r>
        <w:rPr>
          <w:rFonts w:hint="eastAsia" w:ascii="宋体" w:hAnsi="宋体" w:eastAsia="宋体" w:cs="宋体"/>
          <w:color w:val="auto"/>
          <w:spacing w:val="-2"/>
          <w:sz w:val="24"/>
          <w:szCs w:val="24"/>
        </w:rPr>
        <w:t>，配稳压罐直径</w:t>
      </w:r>
      <w:r>
        <w:rPr>
          <w:rFonts w:hint="eastAsia" w:ascii="宋体" w:hAnsi="宋体" w:eastAsia="宋体" w:cs="宋体"/>
          <w:color w:val="auto"/>
          <w:spacing w:val="6"/>
          <w:sz w:val="24"/>
          <w:szCs w:val="24"/>
          <w:u w:val="single" w:color="FF0000"/>
        </w:rPr>
        <w:t xml:space="preserve">  </w:t>
      </w:r>
      <w:r>
        <w:rPr>
          <w:rFonts w:hint="eastAsia" w:ascii="宋体" w:hAnsi="宋体" w:eastAsia="宋体" w:cs="宋体"/>
          <w:color w:val="auto"/>
          <w:spacing w:val="-2"/>
          <w:sz w:val="24"/>
          <w:szCs w:val="24"/>
          <w:u w:val="single" w:color="FF0000"/>
          <w:lang w:val="en-US" w:eastAsia="zh-CN"/>
        </w:rPr>
        <w:t>8</w:t>
      </w:r>
      <w:r>
        <w:rPr>
          <w:rFonts w:hint="eastAsia" w:ascii="宋体" w:hAnsi="宋体" w:eastAsia="宋体" w:cs="宋体"/>
          <w:color w:val="auto"/>
          <w:spacing w:val="-2"/>
          <w:sz w:val="24"/>
          <w:szCs w:val="24"/>
          <w:u w:val="single" w:color="FF0000"/>
        </w:rPr>
        <w:t>00</w:t>
      </w:r>
      <w:r>
        <w:rPr>
          <w:rFonts w:hint="eastAsia" w:ascii="宋体" w:hAnsi="宋体" w:eastAsia="宋体" w:cs="宋体"/>
          <w:color w:val="auto"/>
          <w:spacing w:val="-1"/>
          <w:sz w:val="24"/>
          <w:szCs w:val="24"/>
        </w:rPr>
        <w:t>mm。</w:t>
      </w:r>
    </w:p>
    <w:p w14:paraId="345397C5">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5 本工程自动喷水灭火系统在</w:t>
      </w:r>
      <w:r>
        <w:rPr>
          <w:rFonts w:hint="eastAsia" w:ascii="宋体" w:hAnsi="宋体" w:eastAsia="宋体" w:cs="宋体"/>
          <w:color w:val="auto"/>
          <w:spacing w:val="-101"/>
          <w:sz w:val="24"/>
          <w:szCs w:val="24"/>
        </w:rPr>
        <w:t xml:space="preserve"> </w:t>
      </w:r>
      <w:r>
        <w:rPr>
          <w:rFonts w:hint="eastAsia" w:ascii="宋体" w:hAnsi="宋体" w:eastAsia="宋体" w:cs="宋体"/>
          <w:color w:val="auto"/>
          <w:spacing w:val="-2"/>
          <w:sz w:val="24"/>
          <w:szCs w:val="24"/>
          <w:u w:val="single" w:color="FF0000"/>
        </w:rPr>
        <w:t xml:space="preserve">   </w:t>
      </w:r>
      <w:r>
        <w:rPr>
          <w:rFonts w:hint="eastAsia" w:ascii="宋体" w:hAnsi="宋体" w:eastAsia="宋体" w:cs="宋体"/>
          <w:color w:val="auto"/>
          <w:spacing w:val="-2"/>
          <w:sz w:val="24"/>
          <w:szCs w:val="24"/>
          <w:u w:val="single" w:color="FF0000"/>
          <w:lang w:val="en-US" w:eastAsia="zh-CN"/>
        </w:rPr>
        <w:t>消防</w:t>
      </w:r>
      <w:r>
        <w:rPr>
          <w:rFonts w:hint="eastAsia" w:ascii="宋体" w:hAnsi="宋体" w:eastAsia="宋体" w:cs="宋体"/>
          <w:color w:val="auto"/>
          <w:spacing w:val="-2"/>
          <w:sz w:val="24"/>
          <w:szCs w:val="24"/>
          <w:u w:val="single" w:color="FF0000"/>
        </w:rPr>
        <w:t xml:space="preserve">泵房   </w:t>
      </w:r>
      <w:r>
        <w:rPr>
          <w:rFonts w:hint="eastAsia" w:ascii="宋体" w:hAnsi="宋体" w:eastAsia="宋体" w:cs="宋体"/>
          <w:color w:val="auto"/>
          <w:spacing w:val="-90"/>
          <w:sz w:val="24"/>
          <w:szCs w:val="24"/>
        </w:rPr>
        <w:t xml:space="preserve"> </w:t>
      </w:r>
      <w:r>
        <w:rPr>
          <w:rFonts w:hint="eastAsia" w:ascii="宋体" w:hAnsi="宋体" w:eastAsia="宋体" w:cs="宋体"/>
          <w:color w:val="auto"/>
          <w:spacing w:val="-2"/>
          <w:sz w:val="24"/>
          <w:szCs w:val="24"/>
        </w:rPr>
        <w:t>设</w:t>
      </w:r>
      <w:r>
        <w:rPr>
          <w:rFonts w:hint="eastAsia" w:ascii="宋体" w:hAnsi="宋体" w:eastAsia="宋体" w:cs="宋体"/>
          <w:color w:val="auto"/>
          <w:spacing w:val="-2"/>
          <w:sz w:val="24"/>
          <w:szCs w:val="24"/>
          <w:u w:val="single" w:color="FF0000"/>
        </w:rPr>
        <w:t xml:space="preserve">   5  </w:t>
      </w:r>
      <w:r>
        <w:rPr>
          <w:rFonts w:hint="eastAsia" w:ascii="宋体" w:hAnsi="宋体" w:eastAsia="宋体" w:cs="宋体"/>
          <w:color w:val="auto"/>
          <w:spacing w:val="-90"/>
          <w:sz w:val="24"/>
          <w:szCs w:val="24"/>
        </w:rPr>
        <w:t xml:space="preserve"> </w:t>
      </w:r>
      <w:r>
        <w:rPr>
          <w:rFonts w:hint="eastAsia" w:ascii="宋体" w:hAnsi="宋体" w:eastAsia="宋体" w:cs="宋体"/>
          <w:color w:val="auto"/>
          <w:spacing w:val="-2"/>
          <w:sz w:val="24"/>
          <w:szCs w:val="24"/>
        </w:rPr>
        <w:t>组报警阀。每组湿式报警</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阀控制的喷洒头不超过</w:t>
      </w:r>
      <w:r>
        <w:rPr>
          <w:rFonts w:hint="eastAsia" w:ascii="宋体" w:hAnsi="宋体" w:eastAsia="宋体" w:cs="宋体"/>
          <w:color w:val="auto"/>
          <w:spacing w:val="-4"/>
          <w:sz w:val="24"/>
          <w:szCs w:val="24"/>
          <w:u w:val="single" w:color="FF0000"/>
        </w:rPr>
        <w:t xml:space="preserve">  800   </w:t>
      </w:r>
      <w:r>
        <w:rPr>
          <w:rFonts w:hint="eastAsia" w:ascii="宋体" w:hAnsi="宋体" w:eastAsia="宋体" w:cs="宋体"/>
          <w:color w:val="auto"/>
          <w:spacing w:val="-90"/>
          <w:sz w:val="24"/>
          <w:szCs w:val="24"/>
        </w:rPr>
        <w:t xml:space="preserve"> </w:t>
      </w:r>
      <w:r>
        <w:rPr>
          <w:rFonts w:hint="eastAsia" w:ascii="宋体" w:hAnsi="宋体" w:eastAsia="宋体" w:cs="宋体"/>
          <w:color w:val="auto"/>
          <w:spacing w:val="-4"/>
          <w:sz w:val="24"/>
          <w:szCs w:val="24"/>
        </w:rPr>
        <w:t>个。</w:t>
      </w:r>
    </w:p>
    <w:p w14:paraId="18D489D3">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 </w:t>
      </w:r>
      <w:r>
        <w:rPr>
          <w:rFonts w:hint="eastAsia" w:ascii="宋体" w:hAnsi="宋体" w:eastAsia="宋体" w:cs="宋体"/>
          <w:color w:val="auto"/>
          <w:sz w:val="24"/>
          <w:szCs w:val="24"/>
          <w:u w:val="single" w:color="FF0000"/>
        </w:rPr>
        <w:t xml:space="preserve">   商业  </w:t>
      </w:r>
      <w:r>
        <w:rPr>
          <w:rFonts w:hint="eastAsia" w:ascii="宋体" w:hAnsi="宋体" w:eastAsia="宋体" w:cs="宋体"/>
          <w:color w:val="auto"/>
          <w:spacing w:val="-95"/>
          <w:sz w:val="24"/>
          <w:szCs w:val="24"/>
        </w:rPr>
        <w:t xml:space="preserve"> </w:t>
      </w:r>
      <w:r>
        <w:rPr>
          <w:rFonts w:hint="eastAsia" w:ascii="宋体" w:hAnsi="宋体" w:eastAsia="宋体" w:cs="宋体"/>
          <w:color w:val="auto"/>
          <w:sz w:val="24"/>
          <w:szCs w:val="24"/>
        </w:rPr>
        <w:t>部位采用(</w:t>
      </w:r>
      <w:r>
        <w:rPr>
          <w:rFonts w:hint="eastAsia" w:ascii="宋体" w:hAnsi="宋体" w:eastAsia="宋体" w:cs="宋体"/>
          <w:color w:val="auto"/>
          <w:spacing w:val="-2"/>
          <w:sz w:val="24"/>
          <w:szCs w:val="24"/>
          <w:lang w:eastAsia="zh-CN"/>
        </w:rPr>
        <w:t>☑</w:t>
      </w:r>
      <w:r>
        <w:rPr>
          <w:rFonts w:hint="eastAsia" w:ascii="宋体" w:hAnsi="宋体" w:eastAsia="宋体" w:cs="宋体"/>
          <w:color w:val="auto"/>
          <w:sz w:val="24"/>
          <w:szCs w:val="24"/>
        </w:rPr>
        <w:t>快速响应</w:t>
      </w:r>
      <w:r>
        <w:rPr>
          <w:rFonts w:hint="eastAsia" w:ascii="宋体" w:hAnsi="宋体" w:eastAsia="宋体" w:cs="宋体"/>
          <w:color w:val="auto"/>
          <w:spacing w:val="74"/>
          <w:sz w:val="24"/>
          <w:szCs w:val="24"/>
        </w:rPr>
        <w:t xml:space="preserve"> </w:t>
      </w:r>
      <w:r>
        <w:rPr>
          <w:rFonts w:hint="eastAsia" w:ascii="宋体" w:hAnsi="宋体" w:eastAsia="宋体" w:cs="宋体"/>
          <w:color w:val="auto"/>
          <w:sz w:val="24"/>
          <w:szCs w:val="24"/>
        </w:rPr>
        <w:t>□普通)</w:t>
      </w:r>
      <w:r>
        <w:rPr>
          <w:rFonts w:hint="eastAsia" w:ascii="宋体" w:hAnsi="宋体" w:eastAsia="宋体" w:cs="宋体"/>
          <w:color w:val="auto"/>
          <w:sz w:val="24"/>
          <w:szCs w:val="24"/>
          <w:u w:val="single" w:color="FF0000"/>
        </w:rPr>
        <w:t xml:space="preserve">  标准覆盖面积   </w:t>
      </w:r>
      <w:r>
        <w:rPr>
          <w:rFonts w:hint="eastAsia" w:ascii="宋体" w:hAnsi="宋体" w:eastAsia="宋体" w:cs="宋体"/>
          <w:color w:val="auto"/>
          <w:spacing w:val="-84"/>
          <w:sz w:val="24"/>
          <w:szCs w:val="24"/>
        </w:rPr>
        <w:t xml:space="preserve"> </w:t>
      </w:r>
      <w:r>
        <w:rPr>
          <w:rFonts w:hint="eastAsia" w:ascii="宋体" w:hAnsi="宋体" w:eastAsia="宋体" w:cs="宋体"/>
          <w:color w:val="auto"/>
          <w:sz w:val="24"/>
          <w:szCs w:val="24"/>
        </w:rPr>
        <w:t>喷头，</w:t>
      </w:r>
      <w:r>
        <w:rPr>
          <w:rFonts w:hint="eastAsia" w:ascii="宋体" w:hAnsi="宋体" w:eastAsia="宋体" w:cs="宋体"/>
          <w:color w:val="auto"/>
          <w:spacing w:val="-1"/>
          <w:sz w:val="24"/>
          <w:szCs w:val="24"/>
        </w:rPr>
        <w:t>K值为</w:t>
      </w:r>
      <w:r>
        <w:rPr>
          <w:rFonts w:hint="eastAsia" w:ascii="宋体" w:hAnsi="宋体" w:eastAsia="宋体" w:cs="宋体"/>
          <w:color w:val="auto"/>
          <w:spacing w:val="-1"/>
          <w:sz w:val="24"/>
          <w:szCs w:val="24"/>
          <w:u w:val="single" w:color="FF0000"/>
        </w:rPr>
        <w:t xml:space="preserve">  80   </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；不吊顶部分采用直立型喷头，</w:t>
      </w:r>
      <w:r>
        <w:rPr>
          <w:rFonts w:hint="eastAsia" w:ascii="宋体" w:hAnsi="宋体" w:eastAsia="宋体" w:cs="宋体"/>
          <w:color w:val="auto"/>
          <w:spacing w:val="-2"/>
          <w:sz w:val="24"/>
          <w:szCs w:val="24"/>
        </w:rPr>
        <w:t>吊顶下为下垂型喷头。</w:t>
      </w:r>
    </w:p>
    <w:p w14:paraId="32E7F00D">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p>
    <w:p w14:paraId="2731B00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4.5 气体灭火系统</w:t>
      </w:r>
    </w:p>
    <w:p w14:paraId="4D01952E">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auto"/>
          <w:spacing w:val="-50"/>
          <w:sz w:val="24"/>
          <w:szCs w:val="24"/>
        </w:rPr>
      </w:pPr>
      <w:r>
        <w:rPr>
          <w:rFonts w:hint="eastAsia" w:ascii="宋体" w:hAnsi="宋体" w:eastAsia="宋体" w:cs="宋体"/>
          <w:color w:val="auto"/>
          <w:spacing w:val="-3"/>
          <w:sz w:val="24"/>
          <w:szCs w:val="24"/>
        </w:rPr>
        <w:t>在</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3"/>
          <w:sz w:val="24"/>
          <w:szCs w:val="24"/>
          <w:u w:val="single" w:color="FF0000"/>
          <w:lang w:val="en-US" w:eastAsia="zh-CN"/>
        </w:rPr>
        <w:t>/</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75"/>
          <w:sz w:val="24"/>
          <w:szCs w:val="24"/>
        </w:rPr>
        <w:t xml:space="preserve"> </w:t>
      </w:r>
      <w:r>
        <w:rPr>
          <w:rFonts w:hint="eastAsia" w:ascii="宋体" w:hAnsi="宋体" w:eastAsia="宋体" w:cs="宋体"/>
          <w:color w:val="auto"/>
          <w:spacing w:val="-3"/>
          <w:sz w:val="24"/>
          <w:szCs w:val="24"/>
        </w:rPr>
        <w:t>设置</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3"/>
          <w:sz w:val="24"/>
          <w:szCs w:val="24"/>
          <w:u w:val="single" w:color="FF0000"/>
          <w:lang w:val="en-US" w:eastAsia="zh-CN"/>
        </w:rPr>
        <w:t>/</w:t>
      </w:r>
      <w:r>
        <w:rPr>
          <w:rFonts w:hint="eastAsia" w:ascii="宋体" w:hAnsi="宋体" w:eastAsia="宋体" w:cs="宋体"/>
          <w:color w:val="auto"/>
          <w:spacing w:val="-3"/>
          <w:sz w:val="24"/>
          <w:szCs w:val="24"/>
          <w:u w:val="single" w:color="FF0000"/>
        </w:rPr>
        <w:t xml:space="preserve"> </w:t>
      </w:r>
      <w:r>
        <w:rPr>
          <w:rFonts w:hint="eastAsia" w:ascii="宋体" w:hAnsi="宋体" w:eastAsia="宋体" w:cs="宋体"/>
          <w:color w:val="auto"/>
          <w:spacing w:val="-97"/>
          <w:sz w:val="24"/>
          <w:szCs w:val="24"/>
        </w:rPr>
        <w:t xml:space="preserve"> </w:t>
      </w:r>
      <w:r>
        <w:rPr>
          <w:rFonts w:hint="eastAsia" w:ascii="宋体" w:hAnsi="宋体" w:eastAsia="宋体" w:cs="宋体"/>
          <w:color w:val="auto"/>
          <w:spacing w:val="-3"/>
          <w:sz w:val="24"/>
          <w:szCs w:val="24"/>
        </w:rPr>
        <w:t>气体灭火系统。气</w:t>
      </w:r>
      <w:r>
        <w:rPr>
          <w:rFonts w:hint="eastAsia" w:ascii="宋体" w:hAnsi="宋体" w:eastAsia="宋体" w:cs="宋体"/>
          <w:color w:val="auto"/>
          <w:spacing w:val="-4"/>
          <w:sz w:val="24"/>
          <w:szCs w:val="24"/>
        </w:rPr>
        <w:t>体灭火系统设置：</w:t>
      </w:r>
    </w:p>
    <w:p w14:paraId="265DF7A0">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□管网灭火系统</w:t>
      </w:r>
      <w:r>
        <w:rPr>
          <w:rFonts w:hint="eastAsia" w:ascii="宋体" w:hAnsi="宋体" w:eastAsia="宋体" w:cs="宋体"/>
          <w:color w:val="auto"/>
          <w:spacing w:val="65"/>
          <w:sz w:val="24"/>
          <w:szCs w:val="24"/>
        </w:rPr>
        <w:t xml:space="preserve"> </w:t>
      </w:r>
      <w:r>
        <w:rPr>
          <w:rFonts w:hint="eastAsia" w:ascii="宋体" w:hAnsi="宋体" w:eastAsia="宋体" w:cs="宋体"/>
          <w:color w:val="auto"/>
          <w:spacing w:val="-4"/>
          <w:sz w:val="24"/>
          <w:szCs w:val="24"/>
        </w:rPr>
        <w:t>□预置灭火系统。基本设计参数见表</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4.5.1。</w:t>
      </w:r>
    </w:p>
    <w:p w14:paraId="724B2D9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9"/>
          <w:sz w:val="21"/>
          <w:szCs w:val="21"/>
        </w:rPr>
        <w:t>表</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9"/>
          <w:sz w:val="21"/>
          <w:szCs w:val="21"/>
        </w:rPr>
        <w:t>4.5.1</w:t>
      </w:r>
      <w:r>
        <w:rPr>
          <w:rFonts w:hint="eastAsia" w:ascii="宋体" w:hAnsi="宋体" w:eastAsia="宋体" w:cs="宋体"/>
          <w:color w:val="auto"/>
          <w:spacing w:val="30"/>
          <w:sz w:val="21"/>
          <w:szCs w:val="21"/>
        </w:rPr>
        <w:t xml:space="preserve"> </w:t>
      </w:r>
      <w:r>
        <w:rPr>
          <w:rFonts w:hint="eastAsia" w:ascii="宋体" w:hAnsi="宋体" w:eastAsia="宋体" w:cs="宋体"/>
          <w:color w:val="auto"/>
          <w:spacing w:val="9"/>
          <w:sz w:val="21"/>
          <w:szCs w:val="21"/>
        </w:rPr>
        <w:t>气体灭火计算</w:t>
      </w:r>
    </w:p>
    <w:tbl>
      <w:tblPr>
        <w:tblStyle w:val="15"/>
        <w:tblW w:w="85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1"/>
        <w:gridCol w:w="982"/>
        <w:gridCol w:w="905"/>
        <w:gridCol w:w="873"/>
        <w:gridCol w:w="1018"/>
        <w:gridCol w:w="1307"/>
        <w:gridCol w:w="2126"/>
      </w:tblGrid>
      <w:tr w14:paraId="6D477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311" w:type="dxa"/>
            <w:vAlign w:val="center"/>
          </w:tcPr>
          <w:p w14:paraId="451DE857">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9"/>
                <w:sz w:val="21"/>
                <w:szCs w:val="21"/>
              </w:rPr>
              <w:t>防护区名称</w:t>
            </w:r>
          </w:p>
        </w:tc>
        <w:tc>
          <w:tcPr>
            <w:tcW w:w="982" w:type="dxa"/>
            <w:vAlign w:val="center"/>
          </w:tcPr>
          <w:p w14:paraId="3960E664">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面积</w:t>
            </w:r>
          </w:p>
          <w:p w14:paraId="07883B85">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w:t>
            </w:r>
          </w:p>
        </w:tc>
        <w:tc>
          <w:tcPr>
            <w:tcW w:w="905" w:type="dxa"/>
            <w:vAlign w:val="center"/>
          </w:tcPr>
          <w:p w14:paraId="30FACDCE">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高度</w:t>
            </w:r>
          </w:p>
          <w:p w14:paraId="5F886B24">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eastAsia="zh-CN"/>
              </w:rPr>
              <w:t>（</w:t>
            </w:r>
            <w:r>
              <w:rPr>
                <w:rFonts w:hint="eastAsia" w:ascii="宋体" w:hAnsi="宋体" w:eastAsia="宋体" w:cs="宋体"/>
                <w:color w:val="auto"/>
                <w:spacing w:val="-5"/>
                <w:sz w:val="21"/>
                <w:szCs w:val="21"/>
              </w:rPr>
              <w:t>m）</w:t>
            </w:r>
          </w:p>
        </w:tc>
        <w:tc>
          <w:tcPr>
            <w:tcW w:w="873" w:type="dxa"/>
            <w:vAlign w:val="center"/>
          </w:tcPr>
          <w:p w14:paraId="4602144B">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7"/>
                <w:sz w:val="21"/>
                <w:szCs w:val="21"/>
              </w:rPr>
            </w:pPr>
            <w:r>
              <w:rPr>
                <w:rFonts w:hint="eastAsia" w:ascii="宋体" w:hAnsi="宋体" w:eastAsia="宋体" w:cs="宋体"/>
                <w:color w:val="auto"/>
                <w:spacing w:val="7"/>
                <w:sz w:val="21"/>
                <w:szCs w:val="21"/>
              </w:rPr>
              <w:t>体积</w:t>
            </w:r>
          </w:p>
          <w:p w14:paraId="6D1C4A1F">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1"/>
                <w:sz w:val="21"/>
                <w:szCs w:val="21"/>
              </w:rPr>
              <w:t>（m³</w:t>
            </w:r>
            <w:r>
              <w:rPr>
                <w:rFonts w:hint="eastAsia" w:ascii="宋体" w:hAnsi="宋体" w:eastAsia="宋体" w:cs="宋体"/>
                <w:color w:val="auto"/>
                <w:spacing w:val="-56"/>
                <w:sz w:val="21"/>
                <w:szCs w:val="21"/>
              </w:rPr>
              <w:t xml:space="preserve"> </w:t>
            </w:r>
            <w:r>
              <w:rPr>
                <w:rFonts w:hint="eastAsia" w:ascii="宋体" w:hAnsi="宋体" w:eastAsia="宋体" w:cs="宋体"/>
                <w:color w:val="auto"/>
                <w:spacing w:val="-1"/>
                <w:sz w:val="21"/>
                <w:szCs w:val="21"/>
              </w:rPr>
              <w:t>)</w:t>
            </w:r>
          </w:p>
        </w:tc>
        <w:tc>
          <w:tcPr>
            <w:tcW w:w="1018" w:type="dxa"/>
            <w:vAlign w:val="center"/>
          </w:tcPr>
          <w:p w14:paraId="4D861347">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设计</w:t>
            </w:r>
          </w:p>
          <w:p w14:paraId="3DD50AC1">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浓度</w:t>
            </w:r>
          </w:p>
        </w:tc>
        <w:tc>
          <w:tcPr>
            <w:tcW w:w="1307" w:type="dxa"/>
            <w:vAlign w:val="center"/>
          </w:tcPr>
          <w:p w14:paraId="197FB3F7">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11"/>
                <w:sz w:val="21"/>
                <w:szCs w:val="21"/>
              </w:rPr>
            </w:pPr>
            <w:r>
              <w:rPr>
                <w:rFonts w:hint="eastAsia" w:ascii="宋体" w:hAnsi="宋体" w:eastAsia="宋体" w:cs="宋体"/>
                <w:color w:val="auto"/>
                <w:spacing w:val="11"/>
                <w:sz w:val="21"/>
                <w:szCs w:val="21"/>
              </w:rPr>
              <w:t>设计用量</w:t>
            </w:r>
          </w:p>
          <w:p w14:paraId="2D78E76D">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w:t>
            </w:r>
            <w:r>
              <w:rPr>
                <w:rFonts w:hint="eastAsia" w:ascii="宋体" w:hAnsi="宋体" w:eastAsia="宋体" w:cs="宋体"/>
                <w:color w:val="auto"/>
                <w:sz w:val="21"/>
                <w:szCs w:val="21"/>
              </w:rPr>
              <w:t>Kg</w:t>
            </w:r>
            <w:r>
              <w:rPr>
                <w:rFonts w:hint="eastAsia" w:ascii="宋体" w:hAnsi="宋体" w:eastAsia="宋体" w:cs="宋体"/>
                <w:color w:val="auto"/>
                <w:spacing w:val="2"/>
                <w:sz w:val="21"/>
                <w:szCs w:val="21"/>
              </w:rPr>
              <w:t>）</w:t>
            </w:r>
          </w:p>
        </w:tc>
        <w:tc>
          <w:tcPr>
            <w:tcW w:w="2126" w:type="dxa"/>
            <w:vAlign w:val="center"/>
          </w:tcPr>
          <w:p w14:paraId="1E11031D">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泄压口面积</w:t>
            </w:r>
          </w:p>
          <w:p w14:paraId="0973343B">
            <w:pPr>
              <w:pStyle w:val="18"/>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pacing w:val="10"/>
                <w:sz w:val="21"/>
                <w:szCs w:val="21"/>
              </w:rPr>
              <w:t>（㎡）</w:t>
            </w:r>
          </w:p>
        </w:tc>
      </w:tr>
      <w:tr w14:paraId="2E237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jc w:val="center"/>
        </w:trPr>
        <w:tc>
          <w:tcPr>
            <w:tcW w:w="1311" w:type="dxa"/>
            <w:vAlign w:val="center"/>
          </w:tcPr>
          <w:p w14:paraId="09ED6B0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982" w:type="dxa"/>
            <w:vAlign w:val="center"/>
          </w:tcPr>
          <w:p w14:paraId="30BC6E8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905" w:type="dxa"/>
            <w:vAlign w:val="center"/>
          </w:tcPr>
          <w:p w14:paraId="64B3931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873" w:type="dxa"/>
            <w:vAlign w:val="center"/>
          </w:tcPr>
          <w:p w14:paraId="49F8CDF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1018" w:type="dxa"/>
            <w:vAlign w:val="center"/>
          </w:tcPr>
          <w:p w14:paraId="6802169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1307" w:type="dxa"/>
            <w:vAlign w:val="center"/>
          </w:tcPr>
          <w:p w14:paraId="28BF075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2126" w:type="dxa"/>
            <w:vAlign w:val="center"/>
          </w:tcPr>
          <w:p w14:paraId="17DA2E5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r>
      <w:tr w14:paraId="0DD23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1311" w:type="dxa"/>
            <w:vAlign w:val="center"/>
          </w:tcPr>
          <w:p w14:paraId="4359AF0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982" w:type="dxa"/>
            <w:vAlign w:val="center"/>
          </w:tcPr>
          <w:p w14:paraId="2CCCD7C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905" w:type="dxa"/>
            <w:vAlign w:val="center"/>
          </w:tcPr>
          <w:p w14:paraId="114A64C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873" w:type="dxa"/>
            <w:vAlign w:val="center"/>
          </w:tcPr>
          <w:p w14:paraId="7B8F24E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1018" w:type="dxa"/>
            <w:vAlign w:val="center"/>
          </w:tcPr>
          <w:p w14:paraId="14A87D5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1307" w:type="dxa"/>
            <w:vAlign w:val="center"/>
          </w:tcPr>
          <w:p w14:paraId="59093D7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c>
          <w:tcPr>
            <w:tcW w:w="2126" w:type="dxa"/>
            <w:vAlign w:val="center"/>
          </w:tcPr>
          <w:p w14:paraId="5914F7D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p>
        </w:tc>
      </w:tr>
    </w:tbl>
    <w:p w14:paraId="6BC5E171">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pacing w:val="-2"/>
          <w:sz w:val="24"/>
          <w:szCs w:val="24"/>
        </w:rPr>
      </w:pPr>
    </w:p>
    <w:p w14:paraId="6D4C3C01">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4.6 建筑灭火器设置</w:t>
      </w:r>
    </w:p>
    <w:p w14:paraId="3F57B5D4">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rPr>
        <w:t>4.6.1 本工程设</w:t>
      </w:r>
      <w:r>
        <w:rPr>
          <w:rFonts w:hint="eastAsia" w:ascii="宋体" w:hAnsi="宋体" w:eastAsia="宋体" w:cs="宋体"/>
          <w:color w:val="auto"/>
          <w:spacing w:val="-116"/>
          <w:sz w:val="24"/>
          <w:szCs w:val="24"/>
        </w:rPr>
        <w:t xml:space="preserve"> </w:t>
      </w:r>
      <w:r>
        <w:rPr>
          <w:rFonts w:hint="eastAsia" w:ascii="宋体" w:hAnsi="宋体" w:eastAsia="宋体" w:cs="宋体"/>
          <w:color w:val="auto"/>
          <w:spacing w:val="2"/>
          <w:sz w:val="24"/>
          <w:szCs w:val="24"/>
          <w:u w:val="single" w:color="FF0000"/>
        </w:rPr>
        <w:t xml:space="preserve">    磷酸铵盐干粉      </w:t>
      </w:r>
      <w:r>
        <w:rPr>
          <w:rFonts w:hint="eastAsia" w:ascii="宋体" w:hAnsi="宋体" w:eastAsia="宋体" w:cs="宋体"/>
          <w:color w:val="auto"/>
          <w:spacing w:val="-79"/>
          <w:sz w:val="24"/>
          <w:szCs w:val="24"/>
        </w:rPr>
        <w:t xml:space="preserve"> </w:t>
      </w:r>
      <w:r>
        <w:rPr>
          <w:rFonts w:hint="eastAsia" w:ascii="宋体" w:hAnsi="宋体" w:eastAsia="宋体" w:cs="宋体"/>
          <w:color w:val="auto"/>
          <w:spacing w:val="2"/>
          <w:sz w:val="24"/>
          <w:szCs w:val="24"/>
        </w:rPr>
        <w:t>灭火</w:t>
      </w:r>
      <w:r>
        <w:rPr>
          <w:rFonts w:hint="eastAsia" w:ascii="宋体" w:hAnsi="宋体" w:eastAsia="宋体" w:cs="宋体"/>
          <w:color w:val="auto"/>
          <w:spacing w:val="1"/>
          <w:sz w:val="24"/>
          <w:szCs w:val="24"/>
        </w:rPr>
        <w:t>器，每个组合式室内消火栓箱内</w:t>
      </w:r>
      <w:r>
        <w:rPr>
          <w:rFonts w:hint="eastAsia" w:ascii="宋体" w:hAnsi="宋体" w:eastAsia="宋体" w:cs="宋体"/>
          <w:color w:val="auto"/>
          <w:spacing w:val="-1"/>
          <w:sz w:val="24"/>
          <w:szCs w:val="24"/>
        </w:rPr>
        <w:t>均配 置</w:t>
      </w:r>
      <w:r>
        <w:rPr>
          <w:rFonts w:hint="eastAsia" w:ascii="宋体" w:hAnsi="宋体" w:eastAsia="宋体" w:cs="宋体"/>
          <w:color w:val="auto"/>
          <w:spacing w:val="-1"/>
          <w:sz w:val="24"/>
          <w:szCs w:val="24"/>
          <w:u w:val="single" w:color="FF0000"/>
        </w:rPr>
        <w:t xml:space="preserve">   2  </w:t>
      </w:r>
      <w:r>
        <w:rPr>
          <w:rFonts w:hint="eastAsia" w:ascii="宋体" w:hAnsi="宋体" w:eastAsia="宋体" w:cs="宋体"/>
          <w:color w:val="auto"/>
          <w:spacing w:val="-74"/>
          <w:sz w:val="24"/>
          <w:szCs w:val="24"/>
        </w:rPr>
        <w:t xml:space="preserve"> </w:t>
      </w:r>
      <w:r>
        <w:rPr>
          <w:rFonts w:hint="eastAsia" w:ascii="宋体" w:hAnsi="宋体" w:eastAsia="宋体" w:cs="宋体"/>
          <w:color w:val="auto"/>
          <w:spacing w:val="-1"/>
          <w:sz w:val="24"/>
          <w:szCs w:val="24"/>
        </w:rPr>
        <w:t>具。灭火器箱不得上锁，灭火器的摆放稳固，其铭牌朝外。具体</w:t>
      </w:r>
      <w:r>
        <w:rPr>
          <w:rFonts w:hint="eastAsia" w:ascii="宋体" w:hAnsi="宋体" w:eastAsia="宋体" w:cs="宋体"/>
          <w:color w:val="auto"/>
          <w:spacing w:val="-3"/>
          <w:sz w:val="24"/>
          <w:szCs w:val="24"/>
        </w:rPr>
        <w:t>配置见表</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4.6.1。</w:t>
      </w:r>
    </w:p>
    <w:p w14:paraId="48B6D64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表 4.6.1 灭火器配置</w:t>
      </w:r>
    </w:p>
    <w:tbl>
      <w:tblPr>
        <w:tblStyle w:val="15"/>
        <w:tblW w:w="852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2"/>
        <w:gridCol w:w="1390"/>
        <w:gridCol w:w="1427"/>
        <w:gridCol w:w="1145"/>
        <w:gridCol w:w="967"/>
        <w:gridCol w:w="1272"/>
        <w:gridCol w:w="727"/>
      </w:tblGrid>
      <w:tr w14:paraId="2FF4B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592" w:type="dxa"/>
            <w:vAlign w:val="center"/>
          </w:tcPr>
          <w:p w14:paraId="459943C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灭火器设置场所</w:t>
            </w:r>
          </w:p>
        </w:tc>
        <w:tc>
          <w:tcPr>
            <w:tcW w:w="1390" w:type="dxa"/>
            <w:vAlign w:val="center"/>
          </w:tcPr>
          <w:p w14:paraId="56E20FD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危险等级</w:t>
            </w:r>
          </w:p>
        </w:tc>
        <w:tc>
          <w:tcPr>
            <w:tcW w:w="1427" w:type="dxa"/>
            <w:vAlign w:val="center"/>
          </w:tcPr>
          <w:p w14:paraId="0BAD361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火灾类别</w:t>
            </w:r>
          </w:p>
        </w:tc>
        <w:tc>
          <w:tcPr>
            <w:tcW w:w="1145" w:type="dxa"/>
            <w:vAlign w:val="center"/>
          </w:tcPr>
          <w:p w14:paraId="2CBA75E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单具配置 灭火级别</w:t>
            </w:r>
          </w:p>
        </w:tc>
        <w:tc>
          <w:tcPr>
            <w:tcW w:w="967" w:type="dxa"/>
            <w:vAlign w:val="center"/>
          </w:tcPr>
          <w:p w14:paraId="63BC0DB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灭火器 型号</w:t>
            </w:r>
          </w:p>
        </w:tc>
        <w:tc>
          <w:tcPr>
            <w:tcW w:w="1272" w:type="dxa"/>
            <w:vAlign w:val="center"/>
          </w:tcPr>
          <w:p w14:paraId="06F9C84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最大保护 距离(m)</w:t>
            </w:r>
          </w:p>
        </w:tc>
        <w:tc>
          <w:tcPr>
            <w:tcW w:w="727" w:type="dxa"/>
            <w:vAlign w:val="center"/>
          </w:tcPr>
          <w:p w14:paraId="631DEF4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备注</w:t>
            </w:r>
          </w:p>
        </w:tc>
      </w:tr>
      <w:tr w14:paraId="4FB82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592" w:type="dxa"/>
            <w:vAlign w:val="center"/>
          </w:tcPr>
          <w:p w14:paraId="7DA3C54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eastAsia="zh-CN"/>
              </w:rPr>
              <w:t>KTV</w:t>
            </w:r>
          </w:p>
        </w:tc>
        <w:tc>
          <w:tcPr>
            <w:tcW w:w="1390" w:type="dxa"/>
            <w:vAlign w:val="center"/>
          </w:tcPr>
          <w:p w14:paraId="0721074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lang w:eastAsia="zh-CN"/>
              </w:rPr>
            </w:pPr>
            <w:r>
              <w:rPr>
                <w:rFonts w:hint="eastAsia" w:ascii="宋体" w:hAnsi="宋体" w:eastAsia="宋体" w:cs="宋体"/>
                <w:color w:val="auto"/>
                <w:spacing w:val="9"/>
                <w:sz w:val="21"/>
                <w:szCs w:val="21"/>
                <w:lang w:eastAsia="zh-CN"/>
              </w:rPr>
              <w:t>严重</w:t>
            </w:r>
          </w:p>
        </w:tc>
        <w:tc>
          <w:tcPr>
            <w:tcW w:w="1427" w:type="dxa"/>
            <w:vAlign w:val="center"/>
          </w:tcPr>
          <w:p w14:paraId="0CABC7E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A</w:t>
            </w:r>
          </w:p>
        </w:tc>
        <w:tc>
          <w:tcPr>
            <w:tcW w:w="1145" w:type="dxa"/>
            <w:vAlign w:val="center"/>
          </w:tcPr>
          <w:p w14:paraId="54F77A8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3A</w:t>
            </w:r>
          </w:p>
        </w:tc>
        <w:tc>
          <w:tcPr>
            <w:tcW w:w="967" w:type="dxa"/>
            <w:vAlign w:val="center"/>
          </w:tcPr>
          <w:p w14:paraId="0BD5A36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MF/ABC5</w:t>
            </w:r>
          </w:p>
        </w:tc>
        <w:tc>
          <w:tcPr>
            <w:tcW w:w="1272" w:type="dxa"/>
            <w:vAlign w:val="center"/>
          </w:tcPr>
          <w:p w14:paraId="4B54B3A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15</w:t>
            </w:r>
          </w:p>
        </w:tc>
        <w:tc>
          <w:tcPr>
            <w:tcW w:w="727" w:type="dxa"/>
            <w:vAlign w:val="center"/>
          </w:tcPr>
          <w:p w14:paraId="784F9A8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r>
      <w:tr w14:paraId="066A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592" w:type="dxa"/>
            <w:vAlign w:val="center"/>
          </w:tcPr>
          <w:p w14:paraId="64CDBA3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1390" w:type="dxa"/>
            <w:vAlign w:val="center"/>
          </w:tcPr>
          <w:p w14:paraId="22327B8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1427" w:type="dxa"/>
            <w:vAlign w:val="center"/>
          </w:tcPr>
          <w:p w14:paraId="5F4213B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1145" w:type="dxa"/>
            <w:vAlign w:val="center"/>
          </w:tcPr>
          <w:p w14:paraId="11F46A1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967" w:type="dxa"/>
            <w:vAlign w:val="center"/>
          </w:tcPr>
          <w:p w14:paraId="512EF43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1272" w:type="dxa"/>
            <w:vAlign w:val="center"/>
          </w:tcPr>
          <w:p w14:paraId="7120512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c>
          <w:tcPr>
            <w:tcW w:w="727" w:type="dxa"/>
            <w:vAlign w:val="center"/>
          </w:tcPr>
          <w:p w14:paraId="2F74577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9"/>
                <w:sz w:val="21"/>
                <w:szCs w:val="21"/>
              </w:rPr>
            </w:pPr>
          </w:p>
        </w:tc>
      </w:tr>
    </w:tbl>
    <w:p w14:paraId="5E136434">
      <w:pP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br w:type="page"/>
      </w:r>
    </w:p>
    <w:p w14:paraId="6D6232E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5 电气专业</w:t>
      </w:r>
    </w:p>
    <w:p w14:paraId="6525F6B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45058B37">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pacing w:val="-5"/>
          <w:sz w:val="24"/>
          <w:szCs w:val="24"/>
        </w:rPr>
        <w:t>5.1</w:t>
      </w:r>
      <w:r>
        <w:rPr>
          <w:rFonts w:hint="eastAsia" w:ascii="宋体" w:hAnsi="宋体" w:eastAsia="宋体" w:cs="宋体"/>
          <w:color w:val="C00000"/>
          <w:spacing w:val="19"/>
          <w:sz w:val="24"/>
          <w:szCs w:val="24"/>
        </w:rPr>
        <w:t xml:space="preserve"> </w:t>
      </w:r>
      <w:r>
        <w:rPr>
          <w:rFonts w:hint="eastAsia" w:ascii="宋体" w:hAnsi="宋体" w:eastAsia="宋体" w:cs="宋体"/>
          <w:color w:val="C00000"/>
          <w:spacing w:val="-5"/>
          <w:sz w:val="24"/>
          <w:szCs w:val="24"/>
        </w:rPr>
        <w:t>改造内容</w:t>
      </w:r>
    </w:p>
    <w:p w14:paraId="15D84E3A">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pacing w:val="-3"/>
          <w:sz w:val="24"/>
          <w:szCs w:val="24"/>
        </w:rPr>
        <w:t>5.1.1</w:t>
      </w:r>
      <w:r>
        <w:rPr>
          <w:rFonts w:hint="eastAsia" w:ascii="宋体" w:hAnsi="宋体" w:eastAsia="宋体" w:cs="宋体"/>
          <w:color w:val="C00000"/>
          <w:spacing w:val="23"/>
          <w:sz w:val="24"/>
          <w:szCs w:val="24"/>
        </w:rPr>
        <w:t xml:space="preserve"> </w:t>
      </w:r>
      <w:r>
        <w:rPr>
          <w:rFonts w:hint="eastAsia" w:ascii="宋体" w:hAnsi="宋体" w:eastAsia="宋体" w:cs="宋体"/>
          <w:color w:val="C00000"/>
          <w:spacing w:val="-5"/>
          <w:sz w:val="24"/>
          <w:szCs w:val="24"/>
        </w:rPr>
        <w:t>应急照明系统末端点位调整；</w:t>
      </w:r>
      <w:r>
        <w:rPr>
          <w:rFonts w:hint="eastAsia" w:ascii="宋体" w:hAnsi="宋体" w:eastAsia="宋体" w:cs="宋体"/>
          <w:color w:val="C00000"/>
          <w:spacing w:val="-5"/>
          <w:sz w:val="24"/>
          <w:szCs w:val="24"/>
          <w:lang w:val="en-US" w:eastAsia="zh-CN"/>
        </w:rPr>
        <w:t>（</w:t>
      </w:r>
      <w:r>
        <w:rPr>
          <w:rFonts w:hint="eastAsia" w:ascii="宋体" w:hAnsi="宋体" w:eastAsia="宋体" w:cs="宋体"/>
          <w:b/>
          <w:bCs/>
          <w:color w:val="C00000"/>
          <w:spacing w:val="-5"/>
          <w:sz w:val="24"/>
          <w:szCs w:val="24"/>
          <w:lang w:val="en-US" w:eastAsia="zh-CN"/>
        </w:rPr>
        <w:t>按现行标准）</w:t>
      </w:r>
    </w:p>
    <w:p w14:paraId="4D8AF64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color w:val="C00000"/>
          <w:spacing w:val="-3"/>
          <w:sz w:val="24"/>
          <w:szCs w:val="24"/>
        </w:rPr>
        <w:t>5.1.2</w:t>
      </w:r>
      <w:r>
        <w:rPr>
          <w:rFonts w:hint="eastAsia" w:ascii="宋体" w:hAnsi="宋体" w:eastAsia="宋体" w:cs="宋体"/>
          <w:color w:val="C00000"/>
          <w:spacing w:val="23"/>
          <w:sz w:val="24"/>
          <w:szCs w:val="24"/>
        </w:rPr>
        <w:t xml:space="preserve"> </w:t>
      </w:r>
      <w:r>
        <w:rPr>
          <w:rFonts w:hint="eastAsia" w:ascii="宋体" w:hAnsi="宋体" w:eastAsia="宋体" w:cs="宋体"/>
          <w:color w:val="C00000"/>
          <w:spacing w:val="-5"/>
          <w:sz w:val="24"/>
          <w:szCs w:val="24"/>
        </w:rPr>
        <w:t>火灾自动报警系统末端点位调整；消火栓按钮调整。</w:t>
      </w:r>
      <w:r>
        <w:rPr>
          <w:rFonts w:hint="eastAsia" w:ascii="宋体" w:hAnsi="宋体" w:eastAsia="宋体" w:cs="宋体"/>
          <w:color w:val="C00000"/>
          <w:spacing w:val="-5"/>
          <w:sz w:val="24"/>
          <w:szCs w:val="24"/>
          <w:lang w:val="en-US" w:eastAsia="zh-CN"/>
        </w:rPr>
        <w:t>（</w:t>
      </w:r>
      <w:r>
        <w:rPr>
          <w:rFonts w:hint="eastAsia" w:ascii="宋体" w:hAnsi="宋体" w:eastAsia="宋体" w:cs="宋体"/>
          <w:b/>
          <w:bCs/>
          <w:color w:val="C00000"/>
          <w:spacing w:val="-5"/>
          <w:sz w:val="24"/>
          <w:szCs w:val="24"/>
          <w:lang w:val="en-US" w:eastAsia="zh-CN"/>
        </w:rPr>
        <w:t>按现行标准）</w:t>
      </w:r>
    </w:p>
    <w:p w14:paraId="58C04D4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b/>
          <w:bCs/>
          <w:color w:val="C00000"/>
          <w:spacing w:val="4"/>
          <w:position w:val="17"/>
          <w:sz w:val="24"/>
          <w:szCs w:val="24"/>
        </w:rPr>
      </w:pPr>
      <w:r>
        <w:rPr>
          <w:rFonts w:hint="eastAsia" w:ascii="宋体" w:hAnsi="宋体" w:eastAsia="宋体" w:cs="宋体"/>
          <w:color w:val="C00000"/>
          <w:spacing w:val="4"/>
          <w:position w:val="17"/>
          <w:sz w:val="24"/>
          <w:szCs w:val="24"/>
        </w:rPr>
        <w:t>5.1.</w:t>
      </w:r>
      <w:r>
        <w:rPr>
          <w:rFonts w:hint="eastAsia" w:ascii="宋体" w:hAnsi="宋体" w:eastAsia="宋体" w:cs="宋体"/>
          <w:color w:val="C00000"/>
          <w:spacing w:val="4"/>
          <w:position w:val="17"/>
          <w:sz w:val="24"/>
          <w:szCs w:val="24"/>
          <w:lang w:val="en-US" w:eastAsia="zh-CN"/>
        </w:rPr>
        <w:t>3</w:t>
      </w:r>
      <w:r>
        <w:rPr>
          <w:rFonts w:hint="eastAsia" w:ascii="宋体" w:hAnsi="宋体" w:eastAsia="宋体" w:cs="宋体"/>
          <w:color w:val="C00000"/>
          <w:spacing w:val="4"/>
          <w:position w:val="17"/>
          <w:sz w:val="24"/>
          <w:szCs w:val="24"/>
        </w:rPr>
        <w:t xml:space="preserve"> </w:t>
      </w:r>
      <w:r>
        <w:rPr>
          <w:rFonts w:hint="eastAsia" w:ascii="宋体" w:hAnsi="宋体" w:eastAsia="宋体" w:cs="宋体"/>
          <w:color w:val="C00000"/>
          <w:spacing w:val="4"/>
          <w:position w:val="17"/>
          <w:sz w:val="24"/>
          <w:szCs w:val="24"/>
          <w:lang w:val="en-US" w:eastAsia="zh-CN"/>
        </w:rPr>
        <w:t>改造区域内</w:t>
      </w:r>
      <w:r>
        <w:rPr>
          <w:rFonts w:hint="eastAsia" w:ascii="宋体" w:hAnsi="宋体" w:eastAsia="宋体" w:cs="宋体"/>
          <w:color w:val="C00000"/>
          <w:spacing w:val="4"/>
          <w:position w:val="17"/>
          <w:sz w:val="24"/>
          <w:szCs w:val="24"/>
        </w:rPr>
        <w:t>火灾自动报警系统末端点位调整；消火栓按钮调整。</w:t>
      </w:r>
      <w:r>
        <w:rPr>
          <w:rFonts w:hint="eastAsia" w:ascii="宋体" w:hAnsi="宋体" w:eastAsia="宋体" w:cs="宋体"/>
          <w:b/>
          <w:bCs/>
          <w:color w:val="C00000"/>
          <w:spacing w:val="4"/>
          <w:position w:val="17"/>
          <w:sz w:val="24"/>
          <w:szCs w:val="24"/>
          <w:lang w:val="en-US" w:eastAsia="zh-CN"/>
        </w:rPr>
        <w:t>（按现行标准）</w:t>
      </w:r>
    </w:p>
    <w:p w14:paraId="7AEE908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color w:val="C00000"/>
          <w:spacing w:val="4"/>
          <w:position w:val="17"/>
          <w:sz w:val="24"/>
          <w:szCs w:val="24"/>
        </w:rPr>
        <w:t>5.1.</w:t>
      </w:r>
      <w:r>
        <w:rPr>
          <w:rFonts w:hint="eastAsia" w:ascii="宋体" w:hAnsi="宋体" w:eastAsia="宋体" w:cs="宋体"/>
          <w:color w:val="C00000"/>
          <w:spacing w:val="4"/>
          <w:position w:val="17"/>
          <w:sz w:val="24"/>
          <w:szCs w:val="24"/>
          <w:lang w:val="en-US" w:eastAsia="zh-CN"/>
        </w:rPr>
        <w:t>4</w:t>
      </w:r>
      <w:r>
        <w:rPr>
          <w:rFonts w:hint="eastAsia" w:ascii="宋体" w:hAnsi="宋体" w:eastAsia="宋体" w:cs="宋体"/>
          <w:color w:val="C00000"/>
          <w:spacing w:val="4"/>
          <w:position w:val="17"/>
          <w:sz w:val="24"/>
          <w:szCs w:val="24"/>
        </w:rPr>
        <w:t xml:space="preserve"> 原有消防控制室新增应急疏散照明控制系统主机、消防电源监控系统主机、防火门监控系统主机，消防控制室原火灾自动报警系统主机本次升级改造。</w:t>
      </w:r>
      <w:r>
        <w:rPr>
          <w:rFonts w:hint="eastAsia" w:ascii="宋体" w:hAnsi="宋体" w:eastAsia="宋体" w:cs="宋体"/>
          <w:b/>
          <w:bCs/>
          <w:color w:val="C00000"/>
          <w:spacing w:val="4"/>
          <w:position w:val="17"/>
          <w:sz w:val="24"/>
          <w:szCs w:val="24"/>
          <w:lang w:val="en-US" w:eastAsia="zh-CN"/>
        </w:rPr>
        <w:t>（按现行标准）</w:t>
      </w:r>
    </w:p>
    <w:p w14:paraId="74DEECC6">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p>
    <w:p w14:paraId="0F549E17">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5.2 供配电系统</w:t>
      </w:r>
    </w:p>
    <w:p w14:paraId="0007F868">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4"/>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5.2.1</w:t>
      </w:r>
      <w:r>
        <w:rPr>
          <w:rFonts w:hint="eastAsia" w:ascii="宋体" w:hAnsi="宋体" w:eastAsia="宋体" w:cs="宋体"/>
          <w:color w:val="0D0D0D" w:themeColor="text1" w:themeTint="F2"/>
          <w:spacing w:val="2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负荷等级</w:t>
      </w:r>
    </w:p>
    <w:p w14:paraId="2ED4A7D1">
      <w:pPr>
        <w:keepNext w:val="0"/>
        <w:keepLines/>
        <w:pageBreakBefore w:val="0"/>
        <w:wordWrap/>
        <w:topLinePunct w:val="0"/>
        <w:bidi w:val="0"/>
        <w:spacing w:line="288" w:lineRule="auto"/>
        <w:ind w:left="0" w:leftChars="0" w:right="0" w:rightChars="0" w:firstLine="492"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本工程为</w:t>
      </w:r>
      <w:r>
        <w:rPr>
          <w:rFonts w:hint="eastAsia" w:ascii="宋体" w:hAnsi="宋体" w:eastAsia="宋体" w:cs="宋体"/>
          <w:color w:val="0D0D0D" w:themeColor="text1" w:themeTint="F2"/>
          <w:spacing w:val="3"/>
          <w:sz w:val="24"/>
          <w:szCs w:val="24"/>
          <w:u w:val="single"/>
          <w14:textFill>
            <w14:solidFill>
              <w14:schemeClr w14:val="tx1">
                <w14:lumMod w14:val="95000"/>
                <w14:lumOff w14:val="5000"/>
              </w14:schemeClr>
            </w14:solidFill>
          </w14:textFill>
        </w:rPr>
        <w:t>商业</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建筑，改造前消防用电负荷等级为</w:t>
      </w:r>
      <w:r>
        <w:rPr>
          <w:rFonts w:hint="eastAsia" w:ascii="宋体" w:hAnsi="宋体" w:eastAsia="宋体" w:cs="宋体"/>
          <w:color w:val="0D0D0D" w:themeColor="text1" w:themeTint="F2"/>
          <w:spacing w:val="-10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u w:val="single" w:color="FF0000"/>
          <w14:textFill>
            <w14:solidFill>
              <w14:schemeClr w14:val="tx1">
                <w14:lumMod w14:val="95000"/>
                <w14:lumOff w14:val="5000"/>
              </w14:schemeClr>
            </w14:solidFill>
          </w14:textFill>
        </w:rPr>
        <w:t xml:space="preserve">  一  </w:t>
      </w:r>
      <w:r>
        <w:rPr>
          <w:rFonts w:hint="eastAsia" w:ascii="宋体" w:hAnsi="宋体" w:eastAsia="宋体" w:cs="宋体"/>
          <w:color w:val="0D0D0D" w:themeColor="text1" w:themeTint="F2"/>
          <w:spacing w:val="-10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级，改造后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消防用电负荷等级为</w:t>
      </w:r>
      <w:r>
        <w:rPr>
          <w:rFonts w:hint="eastAsia" w:ascii="宋体" w:hAnsi="宋体" w:eastAsia="宋体" w:cs="宋体"/>
          <w:color w:val="0D0D0D" w:themeColor="text1" w:themeTint="F2"/>
          <w:spacing w:val="-10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u w:val="single" w:color="FF0000"/>
          <w14:textFill>
            <w14:solidFill>
              <w14:schemeClr w14:val="tx1">
                <w14:lumMod w14:val="95000"/>
                <w14:lumOff w14:val="5000"/>
              </w14:schemeClr>
            </w14:solidFill>
          </w14:textFill>
        </w:rPr>
        <w:t xml:space="preserve">  一  </w:t>
      </w:r>
      <w:r>
        <w:rPr>
          <w:rFonts w:hint="eastAsia" w:ascii="宋体" w:hAnsi="宋体" w:eastAsia="宋体" w:cs="宋体"/>
          <w:color w:val="0D0D0D" w:themeColor="text1" w:themeTint="F2"/>
          <w:spacing w:val="-10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级，</w:t>
      </w:r>
      <w:r>
        <w:rPr>
          <w:rFonts w:hint="eastAsia" w:ascii="宋体" w:hAnsi="宋体" w:eastAsia="宋体" w:cs="宋体"/>
          <w:color w:val="0D0D0D" w:themeColor="text1" w:themeTint="F2"/>
          <w:spacing w:val="-81"/>
          <w:sz w:val="24"/>
          <w:szCs w:val="24"/>
          <w14:textFill>
            <w14:solidFill>
              <w14:schemeClr w14:val="tx1">
                <w14:lumMod w14:val="95000"/>
                <w14:lumOff w14:val="5000"/>
              </w14:schemeClr>
            </w14:solidFill>
          </w14:textFill>
        </w:rPr>
        <w:t xml:space="preserve"> </w:t>
      </w:r>
      <w:bookmarkStart w:id="0" w:name="OLE_LINK1"/>
      <w:bookmarkStart w:id="1" w:name="OLE_LINK2"/>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sym w:font="Wingdings 2" w:char="0052"/>
      </w:r>
      <w:bookmarkEnd w:id="0"/>
      <w:bookmarkEnd w:id="1"/>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满足</w:t>
      </w:r>
      <w:r>
        <w:rPr>
          <w:rFonts w:hint="eastAsia" w:ascii="宋体" w:hAnsi="宋体" w:eastAsia="宋体" w:cs="宋体"/>
          <w:color w:val="0D0D0D" w:themeColor="text1" w:themeTint="F2"/>
          <w:spacing w:val="4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□不满足 改造后的消防用电负荷等级要</w:t>
      </w:r>
    </w:p>
    <w:p w14:paraId="37145D4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求。</w:t>
      </w:r>
    </w:p>
    <w:p w14:paraId="52C163A1">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消防用电负荷主要包括：</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应急照明系统、火灾自动报警系统、排烟风机等</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p>
    <w:p w14:paraId="6B7B5F0F">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5.2.2 供电电源</w:t>
      </w:r>
    </w:p>
    <w:p w14:paraId="7958347D">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color w:val="C00000"/>
          <w:spacing w:val="-2"/>
          <w:sz w:val="24"/>
          <w:szCs w:val="24"/>
        </w:rPr>
      </w:pPr>
      <w:r>
        <w:rPr>
          <w:rFonts w:hint="eastAsia" w:ascii="宋体" w:hAnsi="宋体" w:eastAsia="宋体" w:cs="宋体"/>
          <w:b/>
          <w:bCs/>
          <w:color w:val="C00000"/>
          <w:spacing w:val="-5"/>
          <w:sz w:val="24"/>
          <w:szCs w:val="24"/>
          <w:lang w:val="en-US" w:eastAsia="zh-CN"/>
        </w:rPr>
        <w:t>经复核本项目消防电源及配电线路符合现行规范标准。依据《苏州市城市更新既有建筑消防设计技术指南》第6.1.1及6.1.3条，更新改造区域内的消防电源及其配电系统、消防与非消防电线电缆选型与敷设应按现行标准执行。备用消防电源的供电时间和容量应满足该建筑火灾延续时间内各消防用电设备的要求。</w:t>
      </w:r>
    </w:p>
    <w:p w14:paraId="107D8CEF">
      <w:pPr>
        <w:keepNext w:val="0"/>
        <w:keepLines/>
        <w:pageBreakBefore w:val="0"/>
        <w:wordWrap/>
        <w:topLinePunct w:val="0"/>
        <w:bidi w:val="0"/>
        <w:spacing w:line="288" w:lineRule="auto"/>
        <w:ind w:left="0" w:leftChars="0" w:right="0" w:rightChars="0" w:firstLine="46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本项目供电电源为：</w:t>
      </w:r>
      <w:r>
        <w:rPr>
          <w:rFonts w:hint="eastAsia" w:ascii="宋体" w:hAnsi="宋体" w:eastAsia="宋体" w:cs="宋体"/>
          <w:color w:val="0D0D0D" w:themeColor="text1" w:themeTint="F2"/>
          <w:spacing w:val="-7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☑双重电源</w:t>
      </w:r>
      <w:r>
        <w:rPr>
          <w:rFonts w:hint="eastAsia" w:ascii="宋体" w:hAnsi="宋体" w:eastAsia="宋体" w:cs="宋体"/>
          <w:color w:val="0D0D0D" w:themeColor="text1" w:themeTint="F2"/>
          <w:spacing w:val="3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sym w:font="Wingdings 2" w:char="00A3"/>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双回路电源</w:t>
      </w:r>
      <w:r>
        <w:rPr>
          <w:rFonts w:hint="eastAsia" w:ascii="宋体" w:hAnsi="宋体" w:eastAsia="宋体" w:cs="宋体"/>
          <w:color w:val="0D0D0D" w:themeColor="text1" w:themeTint="F2"/>
          <w:spacing w:val="3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□单电源。</w:t>
      </w:r>
    </w:p>
    <w:p w14:paraId="1E488735">
      <w:pPr>
        <w:keepNext w:val="0"/>
        <w:keepLines/>
        <w:pageBreakBefore w:val="0"/>
        <w:wordWrap/>
        <w:topLinePunct w:val="0"/>
        <w:bidi w:val="0"/>
        <w:spacing w:line="288" w:lineRule="auto"/>
        <w:ind w:left="0" w:leftChars="0" w:right="0" w:rightChars="0" w:firstLine="468"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供电电源由</w:t>
      </w:r>
      <w:r>
        <w:rPr>
          <w:rFonts w:hint="eastAsia" w:ascii="宋体" w:hAnsi="宋体" w:eastAsia="宋体" w:cs="宋体"/>
          <w:color w:val="0D0D0D" w:themeColor="text1" w:themeTint="F2"/>
          <w:spacing w:val="-11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u w:val="single" w:color="FF0000"/>
          <w14:textFill>
            <w14:solidFill>
              <w14:schemeClr w14:val="tx1">
                <w14:lumMod w14:val="95000"/>
                <w14:lumOff w14:val="5000"/>
              </w14:schemeClr>
            </w14:solidFill>
          </w14:textFill>
        </w:rPr>
        <w:t>变电所</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引入</w:t>
      </w:r>
      <w:r>
        <w:rPr>
          <w:rFonts w:hint="eastAsia" w:ascii="宋体" w:hAnsi="宋体" w:eastAsia="宋体" w:cs="宋体"/>
          <w:color w:val="0D0D0D" w:themeColor="text1" w:themeTint="F2"/>
          <w:spacing w:val="-1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u w:val="single" w:color="FF0000"/>
          <w14:textFill>
            <w14:solidFill>
              <w14:schemeClr w14:val="tx1">
                <w14:lumMod w14:val="95000"/>
                <w14:lumOff w14:val="5000"/>
              </w14:schemeClr>
            </w14:solidFill>
          </w14:textFill>
        </w:rPr>
        <w:t xml:space="preserve">2  </w:t>
      </w:r>
      <w:r>
        <w:rPr>
          <w:rFonts w:hint="eastAsia" w:ascii="宋体" w:hAnsi="宋体" w:eastAsia="宋体" w:cs="宋体"/>
          <w:color w:val="0D0D0D" w:themeColor="text1" w:themeTint="F2"/>
          <w:spacing w:val="-10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路</w:t>
      </w:r>
      <w:r>
        <w:rPr>
          <w:rFonts w:hint="eastAsia" w:ascii="宋体" w:hAnsi="宋体" w:eastAsia="宋体" w:cs="宋体"/>
          <w:color w:val="0D0D0D" w:themeColor="text1" w:themeTint="F2"/>
          <w:spacing w:val="-11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u w:val="single" w:color="FF0000"/>
          <w14:textFill>
            <w14:solidFill>
              <w14:schemeClr w14:val="tx1">
                <w14:lumMod w14:val="95000"/>
                <w14:lumOff w14:val="5000"/>
              </w14:schemeClr>
            </w14:solidFill>
          </w14:textFill>
        </w:rPr>
        <w:t xml:space="preserve">  20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 xml:space="preserve"> kV 电源，☑满足</w:t>
      </w:r>
      <w:r>
        <w:rPr>
          <w:rFonts w:hint="eastAsia" w:ascii="宋体" w:hAnsi="宋体" w:eastAsia="宋体" w:cs="宋体"/>
          <w:color w:val="0D0D0D" w:themeColor="text1" w:themeTint="F2"/>
          <w:spacing w:val="4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□不满足</w:t>
      </w:r>
      <w:r>
        <w:rPr>
          <w:rFonts w:hint="eastAsia" w:ascii="宋体" w:hAnsi="宋体" w:eastAsia="宋体" w:cs="宋体"/>
          <w:color w:val="0D0D0D" w:themeColor="text1" w:themeTint="F2"/>
          <w:spacing w:val="2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改造后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需求。供电电源改造措施为</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接入原有供电电源 </w:t>
      </w:r>
      <w:r>
        <w:rPr>
          <w:rFonts w:hint="eastAsia" w:ascii="宋体" w:hAnsi="宋体" w:eastAsia="宋体" w:cs="宋体"/>
          <w:color w:val="0D0D0D" w:themeColor="text1" w:themeTint="F2"/>
          <w:spacing w:val="-1"/>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p>
    <w:p w14:paraId="50B9A5FB">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5.2.3 配电系统</w:t>
      </w:r>
    </w:p>
    <w:p w14:paraId="7E61E283">
      <w:pPr>
        <w:keepNext w:val="0"/>
        <w:keepLines/>
        <w:pageBreakBefore w:val="0"/>
        <w:wordWrap/>
        <w:topLinePunct w:val="0"/>
        <w:bidi w:val="0"/>
        <w:spacing w:line="288" w:lineRule="auto"/>
        <w:ind w:left="0" w:leftChars="0" w:right="0" w:rightChars="0" w:firstLine="47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1 消防用电设备配电方式为</w:t>
      </w:r>
      <w:r>
        <w:rPr>
          <w:rFonts w:hint="eastAsia" w:ascii="宋体" w:hAnsi="宋体" w:eastAsia="宋体" w:cs="宋体"/>
          <w:color w:val="0D0D0D" w:themeColor="text1" w:themeTint="F2"/>
          <w:spacing w:val="-1"/>
          <w:sz w:val="24"/>
          <w:szCs w:val="24"/>
          <w:u w:val="single"/>
          <w14:textFill>
            <w14:solidFill>
              <w14:schemeClr w14:val="tx1">
                <w14:lumMod w14:val="95000"/>
                <w14:lumOff w14:val="5000"/>
              </w14:schemeClr>
            </w14:solidFill>
          </w14:textFill>
        </w:rPr>
        <w:t>双回路供电</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p>
    <w:p w14:paraId="17827C1A">
      <w:pPr>
        <w:keepNext w:val="0"/>
        <w:keepLines/>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消防末端配电箱设置在</w:t>
      </w:r>
      <w:r>
        <w:rPr>
          <w:rFonts w:hint="eastAsia" w:ascii="宋体" w:hAnsi="宋体" w:eastAsia="宋体" w:cs="宋体"/>
          <w:color w:val="0D0D0D" w:themeColor="text1" w:themeTint="F2"/>
          <w:spacing w:val="4"/>
          <w:sz w:val="24"/>
          <w:szCs w:val="24"/>
          <w:u w:val="single"/>
          <w14:textFill>
            <w14:solidFill>
              <w14:schemeClr w14:val="tx1">
                <w14:lumMod w14:val="95000"/>
                <w14:lumOff w14:val="5000"/>
              </w14:schemeClr>
            </w14:solidFill>
          </w14:textFill>
        </w:rPr>
        <w:t xml:space="preserve">楼层配电间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。消防水泵、消防电梯、消防控制室</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等的供电回路,由</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变电所</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放射式供电。消防用电设备采用专用的供电回路，当建筑内的生产、生活用电被切断</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时，仍能保证消防用电。</w:t>
      </w:r>
    </w:p>
    <w:p w14:paraId="0DF1C02E">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 消防水泵、防烟风机和排烟风机不采用变频调速器控制。消防水泵控</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制柜、消防风机控制柜等消防电气控制装置不采用变频调速器控制。</w:t>
      </w:r>
    </w:p>
    <w:p w14:paraId="7FE0FC9C">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3 交流电动机装设短路保护、过载保护和接地故障的保护，配电线路均装</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设</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短路保护和过负荷保护。用于保护消防线路和设备的保护开关选用非过负荷动作型。</w:t>
      </w:r>
    </w:p>
    <w:p w14:paraId="2ACD2ED7">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4 开关、插座和照明灯具靠近可燃物时，采取隔热、散热等防火措施。</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消防设备配电箱箱体设有明显消防标志。</w:t>
      </w:r>
    </w:p>
    <w:p w14:paraId="768F393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p>
    <w:p w14:paraId="781CF59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5.3 消防应急照明和消防疏散指示系统</w:t>
      </w:r>
    </w:p>
    <w:p w14:paraId="4FD560ED">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经复核本项目原应急疏散照明不符合现行规范标准。依据《苏州市城市更新既有建筑消防设计技术指南》第6.3.3.1条，功能未改变的局部更新改造及内部装修，改造区域内及相关联的疏散走道、楼梯等部位的消防应急照明和疏散指示灯具，除电压等级及供电方式可适用原标准外，其他应按现行标准执行。</w:t>
      </w:r>
    </w:p>
    <w:p w14:paraId="64285AC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pacing w:val="-1"/>
          <w:sz w:val="24"/>
          <w:szCs w:val="24"/>
        </w:rPr>
        <w:t>5.3.1 改造前应急照明及消防疏散指示系统形式为：</w:t>
      </w:r>
    </w:p>
    <w:p w14:paraId="0234F667">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C00000"/>
          <w:sz w:val="24"/>
          <w:szCs w:val="24"/>
        </w:rPr>
      </w:pPr>
      <w:r>
        <w:rPr>
          <w:rFonts w:hint="eastAsia" w:ascii="宋体" w:hAnsi="宋体" w:eastAsia="宋体" w:cs="宋体"/>
          <w:color w:val="C00000"/>
          <w:spacing w:val="-4"/>
          <w:sz w:val="24"/>
          <w:szCs w:val="24"/>
        </w:rPr>
        <w:t>□集中控制型系统</w:t>
      </w:r>
      <w:r>
        <w:rPr>
          <w:rFonts w:hint="eastAsia" w:ascii="宋体" w:hAnsi="宋体" w:eastAsia="宋体" w:cs="宋体"/>
          <w:color w:val="C00000"/>
          <w:spacing w:val="-4"/>
          <w:sz w:val="24"/>
          <w:szCs w:val="24"/>
          <w:lang w:val="en-US" w:eastAsia="zh-CN"/>
        </w:rPr>
        <w:t xml:space="preserve">  </w:t>
      </w:r>
      <w:r>
        <w:rPr>
          <w:rFonts w:hint="eastAsia" w:ascii="宋体" w:hAnsi="宋体" w:eastAsia="宋体" w:cs="宋体"/>
          <w:color w:val="C00000"/>
          <w:spacing w:val="-4"/>
          <w:sz w:val="24"/>
          <w:szCs w:val="24"/>
        </w:rPr>
        <w:t>☑非集中控制型系统，</w:t>
      </w:r>
    </w:p>
    <w:p w14:paraId="5A5CA7EB">
      <w:pPr>
        <w:keepNext w:val="0"/>
        <w:keepLines/>
        <w:pageBreakBefore w:val="0"/>
        <w:wordWrap/>
        <w:topLinePunct w:val="0"/>
        <w:bidi w:val="0"/>
        <w:spacing w:line="288" w:lineRule="auto"/>
        <w:ind w:left="0" w:leftChars="0" w:right="0" w:rightChars="0" w:firstLine="476" w:firstLineChars="200"/>
        <w:jc w:val="left"/>
        <w:rPr>
          <w:rFonts w:hint="eastAsia" w:ascii="宋体" w:hAnsi="宋体" w:eastAsia="宋体" w:cs="宋体"/>
          <w:color w:val="C00000"/>
          <w:sz w:val="24"/>
          <w:szCs w:val="24"/>
        </w:rPr>
      </w:pPr>
      <w:r>
        <w:rPr>
          <w:rFonts w:hint="eastAsia" w:ascii="宋体" w:hAnsi="宋体" w:eastAsia="宋体" w:cs="宋体"/>
          <w:color w:val="C00000"/>
          <w:spacing w:val="-1"/>
          <w:sz w:val="24"/>
          <w:szCs w:val="24"/>
        </w:rPr>
        <w:t>改造场所或部位及相关区域采用的系统形式为：</w:t>
      </w:r>
    </w:p>
    <w:p w14:paraId="0C5BB63F">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C00000"/>
          <w:sz w:val="24"/>
          <w:szCs w:val="24"/>
        </w:rPr>
      </w:pPr>
      <w:r>
        <w:rPr>
          <w:rFonts w:hint="eastAsia" w:ascii="宋体" w:hAnsi="宋体" w:eastAsia="宋体" w:cs="宋体"/>
          <w:color w:val="C00000"/>
          <w:spacing w:val="-4"/>
          <w:sz w:val="24"/>
          <w:szCs w:val="24"/>
          <w:lang w:eastAsia="zh-CN"/>
        </w:rPr>
        <w:t>☑</w:t>
      </w:r>
      <w:r>
        <w:rPr>
          <w:rFonts w:hint="eastAsia" w:ascii="宋体" w:hAnsi="宋体" w:eastAsia="宋体" w:cs="宋体"/>
          <w:color w:val="C00000"/>
          <w:spacing w:val="-4"/>
          <w:sz w:val="24"/>
          <w:szCs w:val="24"/>
        </w:rPr>
        <w:t>集中控制型系统</w:t>
      </w:r>
      <w:r>
        <w:rPr>
          <w:rFonts w:hint="eastAsia" w:ascii="宋体" w:hAnsi="宋体" w:eastAsia="宋体" w:cs="宋体"/>
          <w:color w:val="C00000"/>
          <w:spacing w:val="-4"/>
          <w:sz w:val="24"/>
          <w:szCs w:val="24"/>
          <w:lang w:val="en-US" w:eastAsia="zh-CN"/>
        </w:rPr>
        <w:t xml:space="preserve">  </w:t>
      </w:r>
      <w:r>
        <w:rPr>
          <w:rFonts w:hint="eastAsia" w:ascii="宋体" w:hAnsi="宋体" w:eastAsia="宋体" w:cs="宋体"/>
          <w:color w:val="C00000"/>
          <w:spacing w:val="-4"/>
          <w:sz w:val="24"/>
          <w:szCs w:val="24"/>
          <w:lang w:eastAsia="zh-CN"/>
        </w:rPr>
        <w:t>□</w:t>
      </w:r>
      <w:r>
        <w:rPr>
          <w:rFonts w:hint="eastAsia" w:ascii="宋体" w:hAnsi="宋体" w:eastAsia="宋体" w:cs="宋体"/>
          <w:color w:val="C00000"/>
          <w:spacing w:val="-4"/>
          <w:sz w:val="24"/>
          <w:szCs w:val="24"/>
        </w:rPr>
        <w:t>非集中控制型系统</w:t>
      </w:r>
      <w:r>
        <w:rPr>
          <w:rFonts w:hint="eastAsia" w:ascii="宋体" w:hAnsi="宋体" w:eastAsia="宋体" w:cs="宋体"/>
          <w:color w:val="C00000"/>
          <w:spacing w:val="-4"/>
          <w:sz w:val="24"/>
          <w:szCs w:val="24"/>
        </w:rPr>
        <w:t>。</w:t>
      </w:r>
    </w:p>
    <w:p w14:paraId="3A5ED3DD">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C00000"/>
          <w:sz w:val="24"/>
          <w:szCs w:val="24"/>
        </w:rPr>
      </w:pPr>
      <w:r>
        <w:rPr>
          <w:rFonts w:hint="eastAsia" w:ascii="宋体" w:hAnsi="宋体" w:eastAsia="宋体" w:cs="宋体"/>
          <w:color w:val="C00000"/>
          <w:sz w:val="24"/>
          <w:szCs w:val="24"/>
        </w:rPr>
        <w:t>本次改造措施为</w:t>
      </w:r>
      <w:r>
        <w:rPr>
          <w:rFonts w:hint="eastAsia" w:ascii="宋体" w:hAnsi="宋体" w:eastAsia="宋体" w:cs="宋体"/>
          <w:color w:val="C00000"/>
          <w:spacing w:val="2"/>
          <w:sz w:val="24"/>
          <w:szCs w:val="24"/>
          <w:u w:val="single" w:color="FF0000"/>
        </w:rPr>
        <w:t>依据最新建筑布局设置应急照明及疏散指示灯具</w:t>
      </w:r>
      <w:r>
        <w:rPr>
          <w:rFonts w:hint="eastAsia" w:ascii="宋体" w:hAnsi="宋体" w:eastAsia="宋体" w:cs="宋体"/>
          <w:color w:val="C00000"/>
          <w:spacing w:val="-1"/>
          <w:sz w:val="24"/>
          <w:szCs w:val="24"/>
          <w:u w:color="FF0000"/>
        </w:rPr>
        <w:t xml:space="preserve"> </w:t>
      </w:r>
      <w:r>
        <w:rPr>
          <w:rFonts w:hint="eastAsia" w:ascii="宋体" w:hAnsi="宋体" w:eastAsia="宋体" w:cs="宋体"/>
          <w:color w:val="C00000"/>
          <w:spacing w:val="-1"/>
          <w:sz w:val="24"/>
          <w:szCs w:val="24"/>
        </w:rPr>
        <w:t>。</w:t>
      </w:r>
    </w:p>
    <w:p w14:paraId="0669AC62">
      <w:pPr>
        <w:keepNext w:val="0"/>
        <w:keepLines/>
        <w:pageBreakBefore w:val="0"/>
        <w:wordWrap/>
        <w:topLinePunct w:val="0"/>
        <w:bidi w:val="0"/>
        <w:spacing w:line="288" w:lineRule="auto"/>
        <w:ind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系统由</w:t>
      </w:r>
      <w:r>
        <w:rPr>
          <w:rFonts w:hint="eastAsia" w:ascii="宋体" w:hAnsi="宋体" w:eastAsia="宋体" w:cs="宋体"/>
          <w:color w:val="0D0D0D" w:themeColor="text1" w:themeTint="F2"/>
          <w:spacing w:val="4"/>
          <w:sz w:val="24"/>
          <w:szCs w:val="24"/>
          <w:u w:val="single" w:color="FF0000"/>
          <w14:textFill>
            <w14:solidFill>
              <w14:schemeClr w14:val="tx1">
                <w14:lumMod w14:val="95000"/>
                <w14:lumOff w14:val="5000"/>
              </w14:schemeClr>
            </w14:solidFill>
          </w14:textFill>
        </w:rPr>
        <w:t>应急照明控制器、应急照明集中电源、消防应急灯具</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等组成；在消</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防控制室设置一台集中控制应急照明控制器。任一台应急照明控制器，直接控</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制灯具的总数量不大于</w:t>
      </w:r>
      <w:r>
        <w:rPr>
          <w:rFonts w:hint="eastAsia" w:ascii="宋体" w:hAnsi="宋体" w:eastAsia="宋体" w:cs="宋体"/>
          <w:color w:val="0D0D0D" w:themeColor="text1" w:themeTint="F2"/>
          <w:spacing w:val="-4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3200。</w:t>
      </w:r>
    </w:p>
    <w:p w14:paraId="0BCDDC04">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5.3.2 灯具的选择</w:t>
      </w:r>
    </w:p>
    <w:p w14:paraId="31CEFA31">
      <w:pPr>
        <w:keepNext w:val="0"/>
        <w:keepLines/>
        <w:pageBreakBefore w:val="0"/>
        <w:wordWrap/>
        <w:topLinePunct w:val="0"/>
        <w:bidi w:val="0"/>
        <w:spacing w:line="288" w:lineRule="auto"/>
        <w:ind w:left="0" w:leftChars="0" w:right="0" w:rightChars="0" w:firstLine="488"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1 消防应急照明灯具的光源色温为</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color="FF0000"/>
          <w14:textFill>
            <w14:solidFill>
              <w14:schemeClr w14:val="tx1">
                <w14:lumMod w14:val="95000"/>
                <w14:lumOff w14:val="5000"/>
              </w14:schemeClr>
            </w14:solidFill>
          </w14:textFill>
        </w:rPr>
        <w:t xml:space="preserve">4000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（不低于2700K</w:t>
      </w:r>
      <w:r>
        <w:rPr>
          <w:rFonts w:hint="eastAsia" w:ascii="宋体" w:hAnsi="宋体" w:eastAsia="宋体" w:cs="宋体"/>
          <w:color w:val="0D0D0D" w:themeColor="text1" w:themeTint="F2"/>
          <w:spacing w:val="2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设置在距地面</w:t>
      </w:r>
    </w:p>
    <w:p w14:paraId="0976E9FE">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8m及以下的灯具选择A型灯具，设置在距地面8m以上的灯具选用</w:t>
      </w:r>
      <w:r>
        <w:rPr>
          <w:rFonts w:hint="eastAsia" w:ascii="宋体" w:hAnsi="宋体" w:eastAsia="宋体" w:cs="宋体"/>
          <w:color w:val="0D0D0D" w:themeColor="text1" w:themeTint="F2"/>
          <w:spacing w:val="-1"/>
          <w:sz w:val="24"/>
          <w:szCs w:val="24"/>
          <w:u w:val="single" w:color="FF0000"/>
          <w14:textFill>
            <w14:solidFill>
              <w14:schemeClr w14:val="tx1">
                <w14:lumMod w14:val="95000"/>
                <w14:lumOff w14:val="5000"/>
              </w14:schemeClr>
            </w14:solidFill>
          </w14:textFill>
        </w:rPr>
        <w:t xml:space="preserve">  B  </w:t>
      </w:r>
      <w:r>
        <w:rPr>
          <w:rFonts w:hint="eastAsia" w:ascii="宋体" w:hAnsi="宋体" w:eastAsia="宋体" w:cs="宋体"/>
          <w:color w:val="0D0D0D" w:themeColor="text1" w:themeTint="F2"/>
          <w:spacing w:val="-9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型灯具。</w:t>
      </w:r>
    </w:p>
    <w:p w14:paraId="28E815D7">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 除地面上设置的标志灯的面板可采用厚度4mm及以上的钢化玻璃外，设置</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在距地面1m及以下的标志灯的面板或灯罩不采用</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易碎材料或玻璃材质，在顶棚、</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疏散路径上方设置的灯具的面板或灯罩不采用玻璃材质。室内高</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度大于4.5m的</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场所，选择</w:t>
      </w:r>
      <w:r>
        <w:rPr>
          <w:rFonts w:hint="eastAsia" w:ascii="宋体" w:hAnsi="宋体" w:eastAsia="宋体" w:cs="宋体"/>
          <w:color w:val="0D0D0D" w:themeColor="text1" w:themeTint="F2"/>
          <w:spacing w:val="-1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u w:val="single" w:color="FF0000"/>
          <w14:textFill>
            <w14:solidFill>
              <w14:schemeClr w14:val="tx1">
                <w14:lumMod w14:val="95000"/>
                <w14:lumOff w14:val="5000"/>
              </w14:schemeClr>
            </w14:solidFill>
          </w14:textFill>
        </w:rPr>
        <w:t xml:space="preserve"> 特大/大 </w:t>
      </w:r>
      <w:r>
        <w:rPr>
          <w:rFonts w:hint="eastAsia" w:ascii="宋体" w:hAnsi="宋体" w:eastAsia="宋体" w:cs="宋体"/>
          <w:color w:val="0D0D0D" w:themeColor="text1" w:themeTint="F2"/>
          <w:spacing w:val="-9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型标志灯；其余场所，选择</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u w:val="single" w:color="FF0000"/>
          <w14:textFill>
            <w14:solidFill>
              <w14:schemeClr w14:val="tx1">
                <w14:lumMod w14:val="95000"/>
                <w14:lumOff w14:val="5000"/>
              </w14:schemeClr>
            </w14:solidFill>
          </w14:textFill>
        </w:rPr>
        <w:t xml:space="preserve"> 中/小 </w:t>
      </w:r>
      <w:r>
        <w:rPr>
          <w:rFonts w:hint="eastAsia" w:ascii="宋体" w:hAnsi="宋体" w:eastAsia="宋体" w:cs="宋体"/>
          <w:color w:val="0D0D0D" w:themeColor="text1" w:themeTint="F2"/>
          <w:spacing w:val="-9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型标志灯，标志灯为持续型</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灯具。</w:t>
      </w:r>
    </w:p>
    <w:p w14:paraId="381067E0">
      <w:pPr>
        <w:keepNext w:val="0"/>
        <w:keepLines/>
        <w:pageBreakBefore w:val="0"/>
        <w:widowControl w:val="0"/>
        <w:kinsoku/>
        <w:wordWrap/>
        <w:topLinePunct w:val="0"/>
        <w:bidi w:val="0"/>
        <w:snapToGrid/>
        <w:spacing w:line="288" w:lineRule="auto"/>
        <w:ind w:left="0" w:leftChars="0" w:right="0" w:rightChars="0" w:firstLine="0" w:firstLineChars="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5.3.3 改造部位或场所疏散照明与备用照明设置地点、最少持续供电时间及地面水平最低照度见表5.3.3。</w:t>
      </w:r>
    </w:p>
    <w:p w14:paraId="50249BB2">
      <w:pPr>
        <w:keepNext w:val="0"/>
        <w:keepLines/>
        <w:pageBreakBefore w:val="0"/>
        <w:widowControl w:val="0"/>
        <w:kinsoku/>
        <w:wordWrap/>
        <w:topLinePunct w:val="0"/>
        <w:autoSpaceDE/>
        <w:autoSpaceDN/>
        <w:bidi w:val="0"/>
        <w:adjustRightInd/>
        <w:snapToGrid/>
        <w:spacing w:line="288" w:lineRule="auto"/>
        <w:ind w:left="0" w:leftChars="0" w:right="0" w:rightChars="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表5.3.3 照明灯的部位或场所及其地面水平最低照度及最少持续供电时间</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7"/>
        <w:gridCol w:w="1055"/>
        <w:gridCol w:w="1762"/>
        <w:gridCol w:w="4645"/>
      </w:tblGrid>
      <w:tr w14:paraId="6A82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Align w:val="center"/>
          </w:tcPr>
          <w:p w14:paraId="4525311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名 称</w:t>
            </w:r>
          </w:p>
        </w:tc>
        <w:tc>
          <w:tcPr>
            <w:tcW w:w="617" w:type="pct"/>
            <w:vAlign w:val="center"/>
          </w:tcPr>
          <w:p w14:paraId="12DF207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供电时间</w:t>
            </w:r>
          </w:p>
        </w:tc>
        <w:tc>
          <w:tcPr>
            <w:tcW w:w="1030" w:type="pct"/>
            <w:vAlign w:val="center"/>
          </w:tcPr>
          <w:p w14:paraId="2E8F246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照  度</w:t>
            </w:r>
          </w:p>
        </w:tc>
        <w:tc>
          <w:tcPr>
            <w:tcW w:w="2716" w:type="pct"/>
            <w:vAlign w:val="center"/>
          </w:tcPr>
          <w:p w14:paraId="1802CBE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场   所</w:t>
            </w:r>
          </w:p>
        </w:tc>
      </w:tr>
      <w:tr w14:paraId="123D6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Merge w:val="restart"/>
            <w:vAlign w:val="center"/>
          </w:tcPr>
          <w:p w14:paraId="6FAD3A5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疏散照明(火灾时)</w:t>
            </w:r>
          </w:p>
        </w:tc>
        <w:tc>
          <w:tcPr>
            <w:tcW w:w="617" w:type="pct"/>
            <w:vMerge w:val="restart"/>
            <w:vAlign w:val="center"/>
          </w:tcPr>
          <w:p w14:paraId="4206B318">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 少 于</w:t>
            </w:r>
          </w:p>
          <w:p w14:paraId="30BE853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□0.5h</w:t>
            </w:r>
          </w:p>
          <w:p w14:paraId="3FFA4CBB">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□1.0h</w:t>
            </w:r>
          </w:p>
          <w:p w14:paraId="76C9833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□1.5h</w:t>
            </w:r>
          </w:p>
          <w:p w14:paraId="2016197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☑2.0h</w:t>
            </w:r>
          </w:p>
          <w:p w14:paraId="392F318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p w14:paraId="5734F5B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p w14:paraId="44C033C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1030" w:type="pct"/>
            <w:vAlign w:val="center"/>
          </w:tcPr>
          <w:p w14:paraId="68AA687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不低于10.0lx</w:t>
            </w:r>
          </w:p>
        </w:tc>
        <w:tc>
          <w:tcPr>
            <w:tcW w:w="2716" w:type="pct"/>
            <w:vAlign w:val="center"/>
          </w:tcPr>
          <w:p w14:paraId="2CF2FBD4">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□Ⅰ-1.疏散楼梯间</w:t>
            </w:r>
          </w:p>
          <w:p w14:paraId="556603C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□Ⅰ-2.疏散楼梯间的前室或合用前室</w:t>
            </w:r>
          </w:p>
          <w:p w14:paraId="775BEBC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□Ⅰ-3.避难走道及其前室</w:t>
            </w:r>
          </w:p>
          <w:p w14:paraId="326558B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□Ⅰ-4.避难层</w:t>
            </w:r>
          </w:p>
          <w:p w14:paraId="5CE0A8B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□Ⅰ-5.避难间</w:t>
            </w:r>
          </w:p>
          <w:p w14:paraId="527980C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z w:val="21"/>
                <w:szCs w:val="21"/>
                <w:shd w:val="clear" w:color="auto" w:fill="FFFFFF"/>
              </w:rPr>
            </w:pPr>
            <w:r>
              <w:rPr>
                <w:rFonts w:hint="eastAsia" w:ascii="宋体" w:hAnsi="宋体" w:eastAsia="宋体" w:cs="宋体"/>
                <w:color w:val="auto"/>
                <w:sz w:val="21"/>
                <w:szCs w:val="21"/>
              </w:rPr>
              <w:t>□Ⅰ-6.消防专用通道</w:t>
            </w:r>
          </w:p>
        </w:tc>
      </w:tr>
      <w:tr w14:paraId="16A1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Merge w:val="continue"/>
            <w:vAlign w:val="center"/>
          </w:tcPr>
          <w:p w14:paraId="1D04B3D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617" w:type="pct"/>
            <w:vMerge w:val="continue"/>
            <w:vAlign w:val="center"/>
          </w:tcPr>
          <w:p w14:paraId="17F50DD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1030" w:type="pct"/>
            <w:vAlign w:val="center"/>
          </w:tcPr>
          <w:p w14:paraId="20DE535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不低于3.0lx</w:t>
            </w:r>
          </w:p>
        </w:tc>
        <w:tc>
          <w:tcPr>
            <w:tcW w:w="2716" w:type="pct"/>
            <w:vAlign w:val="center"/>
          </w:tcPr>
          <w:p w14:paraId="3CADD7D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☑Ⅱ-1.疏散走道</w:t>
            </w:r>
          </w:p>
          <w:p w14:paraId="661EF4B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☑Ⅱ-2.人员密集的场所</w:t>
            </w:r>
          </w:p>
          <w:p w14:paraId="4DBDE86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r>
      <w:tr w14:paraId="6A07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636" w:type="pct"/>
            <w:vMerge w:val="continue"/>
            <w:vAlign w:val="center"/>
          </w:tcPr>
          <w:p w14:paraId="70502379">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617" w:type="pct"/>
            <w:vMerge w:val="continue"/>
            <w:vAlign w:val="center"/>
          </w:tcPr>
          <w:p w14:paraId="135A561A">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1030" w:type="pct"/>
            <w:vAlign w:val="center"/>
          </w:tcPr>
          <w:p w14:paraId="73D5140B">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不低于1.0lx</w:t>
            </w:r>
          </w:p>
        </w:tc>
        <w:tc>
          <w:tcPr>
            <w:tcW w:w="2716" w:type="pct"/>
            <w:vAlign w:val="center"/>
          </w:tcPr>
          <w:p w14:paraId="7D9C5CBD">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□Ⅲ-1.除Ⅰ、Ⅱ规定场所外的其他场所</w:t>
            </w:r>
          </w:p>
          <w:p w14:paraId="71E692B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r>
      <w:tr w14:paraId="3967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Align w:val="center"/>
          </w:tcPr>
          <w:p w14:paraId="20A82D59">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备用照明</w:t>
            </w:r>
          </w:p>
          <w:p w14:paraId="619437D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(火灾时)</w:t>
            </w:r>
          </w:p>
        </w:tc>
        <w:tc>
          <w:tcPr>
            <w:tcW w:w="617" w:type="pct"/>
            <w:vAlign w:val="center"/>
          </w:tcPr>
          <w:p w14:paraId="7E1E4DA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不少于180min</w:t>
            </w:r>
          </w:p>
        </w:tc>
        <w:tc>
          <w:tcPr>
            <w:tcW w:w="1030" w:type="pct"/>
            <w:vAlign w:val="center"/>
          </w:tcPr>
          <w:p w14:paraId="6B0F984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不低于正常照度</w:t>
            </w:r>
          </w:p>
        </w:tc>
        <w:tc>
          <w:tcPr>
            <w:tcW w:w="2716" w:type="pct"/>
            <w:vAlign w:val="center"/>
          </w:tcPr>
          <w:p w14:paraId="332168B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消防控制中心，电话总机房，消防水泵房、自备发电机房、配电室、防排烟机房以及发生火灾时仍需正常工作的消防设备房</w:t>
            </w:r>
          </w:p>
        </w:tc>
      </w:tr>
      <w:tr w14:paraId="6D56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Merge w:val="restart"/>
            <w:vAlign w:val="center"/>
          </w:tcPr>
          <w:p w14:paraId="5A59074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备用照明</w:t>
            </w:r>
          </w:p>
          <w:p w14:paraId="39C979F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(非火灾时)</w:t>
            </w:r>
          </w:p>
        </w:tc>
        <w:tc>
          <w:tcPr>
            <w:tcW w:w="617" w:type="pct"/>
            <w:vAlign w:val="center"/>
          </w:tcPr>
          <w:p w14:paraId="085A619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不少于180min</w:t>
            </w:r>
          </w:p>
        </w:tc>
        <w:tc>
          <w:tcPr>
            <w:tcW w:w="1030" w:type="pct"/>
            <w:vAlign w:val="center"/>
          </w:tcPr>
          <w:p w14:paraId="5C83B93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不低于正常照度</w:t>
            </w:r>
          </w:p>
        </w:tc>
        <w:tc>
          <w:tcPr>
            <w:tcW w:w="2716" w:type="pct"/>
            <w:vAlign w:val="center"/>
          </w:tcPr>
          <w:p w14:paraId="428C817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重要机房：安全防范、计算机网络、通信网络机房</w:t>
            </w:r>
          </w:p>
        </w:tc>
      </w:tr>
      <w:tr w14:paraId="048A9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36" w:type="pct"/>
            <w:vMerge w:val="continue"/>
            <w:vAlign w:val="center"/>
          </w:tcPr>
          <w:p w14:paraId="56AE5E4D">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617" w:type="pct"/>
            <w:vAlign w:val="center"/>
          </w:tcPr>
          <w:p w14:paraId="3970B43B">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1030" w:type="pct"/>
            <w:vAlign w:val="center"/>
          </w:tcPr>
          <w:p w14:paraId="369BA09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p>
        </w:tc>
        <w:tc>
          <w:tcPr>
            <w:tcW w:w="2716" w:type="pct"/>
            <w:vAlign w:val="center"/>
          </w:tcPr>
          <w:p w14:paraId="2C058BC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其他</w:t>
            </w:r>
          </w:p>
        </w:tc>
      </w:tr>
    </w:tbl>
    <w:p w14:paraId="0FED14E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p>
    <w:p w14:paraId="0110D97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5.4 火灾自动报警系统</w:t>
      </w:r>
    </w:p>
    <w:p w14:paraId="64FACFD3">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经复核本工程消防控制室火灾报警主机无兼容的通信接口。依据《苏州市城市更新既有建筑消防设计技术指南》第6.2.3.1条，功能未改变的局部更新改造及内部装修，改造区域内火灾探测器的选择、已有系统设备的设置、新增和改造的系统布线应按现行标准执行，其他可适用原标准。</w:t>
      </w:r>
    </w:p>
    <w:p w14:paraId="579DC55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pacing w:val="-4"/>
          <w:sz w:val="24"/>
          <w:szCs w:val="24"/>
        </w:rPr>
        <w:t>5.4.1 改造前本工程</w:t>
      </w:r>
      <w:r>
        <w:rPr>
          <w:rFonts w:hint="eastAsia" w:ascii="宋体" w:hAnsi="宋体" w:eastAsia="宋体" w:cs="宋体"/>
          <w:color w:val="C00000"/>
          <w:spacing w:val="45"/>
          <w:sz w:val="24"/>
          <w:szCs w:val="24"/>
        </w:rPr>
        <w:t xml:space="preserve"> </w:t>
      </w:r>
      <w:r>
        <w:rPr>
          <w:rFonts w:hint="eastAsia" w:ascii="宋体" w:hAnsi="宋体" w:eastAsia="宋体" w:cs="宋体"/>
          <w:color w:val="C00000"/>
          <w:spacing w:val="-4"/>
          <w:sz w:val="24"/>
          <w:szCs w:val="24"/>
        </w:rPr>
        <w:sym w:font="Wingdings 2" w:char="0052"/>
      </w:r>
      <w:r>
        <w:rPr>
          <w:rFonts w:hint="eastAsia" w:ascii="宋体" w:hAnsi="宋体" w:eastAsia="宋体" w:cs="宋体"/>
          <w:color w:val="C00000"/>
          <w:spacing w:val="-4"/>
          <w:sz w:val="24"/>
          <w:szCs w:val="24"/>
        </w:rPr>
        <w:t>是</w:t>
      </w:r>
      <w:r>
        <w:rPr>
          <w:rFonts w:hint="eastAsia" w:ascii="宋体" w:hAnsi="宋体" w:eastAsia="宋体" w:cs="宋体"/>
          <w:color w:val="C00000"/>
          <w:spacing w:val="-33"/>
          <w:sz w:val="24"/>
          <w:szCs w:val="24"/>
        </w:rPr>
        <w:t xml:space="preserve"> </w:t>
      </w:r>
      <w:r>
        <w:rPr>
          <w:rFonts w:hint="eastAsia" w:ascii="宋体" w:hAnsi="宋体" w:eastAsia="宋体" w:cs="宋体"/>
          <w:color w:val="C00000"/>
          <w:spacing w:val="-4"/>
          <w:sz w:val="24"/>
          <w:szCs w:val="24"/>
        </w:rPr>
        <w:t>□否</w:t>
      </w:r>
      <w:r>
        <w:rPr>
          <w:rFonts w:hint="eastAsia" w:ascii="宋体" w:hAnsi="宋体" w:eastAsia="宋体" w:cs="宋体"/>
          <w:color w:val="C00000"/>
          <w:spacing w:val="-52"/>
          <w:sz w:val="24"/>
          <w:szCs w:val="24"/>
        </w:rPr>
        <w:t xml:space="preserve"> </w:t>
      </w:r>
      <w:r>
        <w:rPr>
          <w:rFonts w:hint="eastAsia" w:ascii="宋体" w:hAnsi="宋体" w:eastAsia="宋体" w:cs="宋体"/>
          <w:color w:val="C00000"/>
          <w:spacing w:val="-4"/>
          <w:sz w:val="24"/>
          <w:szCs w:val="24"/>
        </w:rPr>
        <w:t>设置火灾自动报警系统。</w:t>
      </w:r>
    </w:p>
    <w:p w14:paraId="13E86C92">
      <w:pPr>
        <w:keepNext w:val="0"/>
        <w:keepLines/>
        <w:pageBreakBefore w:val="0"/>
        <w:wordWrap/>
        <w:topLinePunct w:val="0"/>
        <w:bidi w:val="0"/>
        <w:spacing w:line="288" w:lineRule="auto"/>
        <w:ind w:left="0" w:leftChars="0" w:right="0" w:rightChars="0" w:firstLine="464" w:firstLineChars="200"/>
        <w:jc w:val="left"/>
        <w:rPr>
          <w:rFonts w:hint="eastAsia" w:ascii="宋体" w:hAnsi="宋体" w:eastAsia="宋体" w:cs="宋体"/>
          <w:color w:val="C00000"/>
          <w:sz w:val="24"/>
          <w:szCs w:val="24"/>
        </w:rPr>
      </w:pPr>
      <w:r>
        <w:rPr>
          <w:rFonts w:hint="eastAsia" w:ascii="宋体" w:hAnsi="宋体" w:eastAsia="宋体" w:cs="宋体"/>
          <w:color w:val="C00000"/>
          <w:spacing w:val="-4"/>
          <w:sz w:val="24"/>
          <w:szCs w:val="24"/>
        </w:rPr>
        <w:t>系统形式为</w:t>
      </w:r>
      <w:r>
        <w:rPr>
          <w:rFonts w:hint="eastAsia" w:ascii="宋体" w:hAnsi="宋体" w:eastAsia="宋体" w:cs="宋体"/>
          <w:color w:val="C00000"/>
          <w:spacing w:val="33"/>
          <w:sz w:val="24"/>
          <w:szCs w:val="24"/>
        </w:rPr>
        <w:t xml:space="preserve"> </w:t>
      </w:r>
      <w:r>
        <w:rPr>
          <w:rFonts w:hint="eastAsia" w:ascii="宋体" w:hAnsi="宋体" w:eastAsia="宋体" w:cs="宋体"/>
          <w:color w:val="C00000"/>
          <w:spacing w:val="-4"/>
          <w:sz w:val="24"/>
          <w:szCs w:val="24"/>
        </w:rPr>
        <w:t>□区域报警系统</w:t>
      </w:r>
      <w:r>
        <w:rPr>
          <w:rFonts w:hint="eastAsia" w:ascii="宋体" w:hAnsi="宋体" w:eastAsia="宋体" w:cs="宋体"/>
          <w:color w:val="C00000"/>
          <w:spacing w:val="34"/>
          <w:sz w:val="24"/>
          <w:szCs w:val="24"/>
        </w:rPr>
        <w:t xml:space="preserve"> </w:t>
      </w:r>
      <w:r>
        <w:rPr>
          <w:rFonts w:hint="eastAsia" w:ascii="宋体" w:hAnsi="宋体" w:eastAsia="宋体" w:cs="宋体"/>
          <w:color w:val="C00000"/>
          <w:spacing w:val="-4"/>
          <w:sz w:val="24"/>
          <w:szCs w:val="24"/>
        </w:rPr>
        <w:sym w:font="Wingdings 2" w:char="0052"/>
      </w:r>
      <w:r>
        <w:rPr>
          <w:rFonts w:hint="eastAsia" w:ascii="宋体" w:hAnsi="宋体" w:eastAsia="宋体" w:cs="宋体"/>
          <w:color w:val="C00000"/>
          <w:spacing w:val="-4"/>
          <w:sz w:val="24"/>
          <w:szCs w:val="24"/>
        </w:rPr>
        <w:t>集中报警系统</w:t>
      </w:r>
      <w:r>
        <w:rPr>
          <w:rFonts w:hint="eastAsia" w:ascii="宋体" w:hAnsi="宋体" w:eastAsia="宋体" w:cs="宋体"/>
          <w:color w:val="C00000"/>
          <w:spacing w:val="33"/>
          <w:sz w:val="24"/>
          <w:szCs w:val="24"/>
        </w:rPr>
        <w:t xml:space="preserve"> </w:t>
      </w:r>
      <w:r>
        <w:rPr>
          <w:rFonts w:hint="eastAsia" w:ascii="宋体" w:hAnsi="宋体" w:eastAsia="宋体" w:cs="宋体"/>
          <w:color w:val="C00000"/>
          <w:spacing w:val="-4"/>
          <w:sz w:val="24"/>
          <w:szCs w:val="24"/>
        </w:rPr>
        <w:t>□控制中心报警系统。</w:t>
      </w:r>
    </w:p>
    <w:p w14:paraId="7BD41162">
      <w:pPr>
        <w:keepNext w:val="0"/>
        <w:keepLines/>
        <w:pageBreakBefore w:val="0"/>
        <w:wordWrap/>
        <w:topLinePunct w:val="0"/>
        <w:bidi w:val="0"/>
        <w:spacing w:line="288" w:lineRule="auto"/>
        <w:ind w:right="0" w:rightChars="0" w:firstLine="476" w:firstLineChars="200"/>
        <w:jc w:val="left"/>
        <w:rPr>
          <w:rFonts w:hint="eastAsia" w:ascii="宋体" w:hAnsi="宋体" w:eastAsia="宋体" w:cs="宋体"/>
          <w:color w:val="C00000"/>
          <w:sz w:val="24"/>
          <w:szCs w:val="24"/>
        </w:rPr>
      </w:pPr>
      <w:r>
        <w:rPr>
          <w:rFonts w:hint="eastAsia" w:ascii="宋体" w:hAnsi="宋体" w:eastAsia="宋体" w:cs="宋体"/>
          <w:color w:val="C00000"/>
          <w:spacing w:val="-1"/>
          <w:sz w:val="24"/>
          <w:szCs w:val="24"/>
        </w:rPr>
        <w:t>系统由</w:t>
      </w:r>
      <w:r>
        <w:rPr>
          <w:rFonts w:hint="eastAsia" w:ascii="宋体" w:hAnsi="宋体" w:eastAsia="宋体" w:cs="宋体"/>
          <w:color w:val="C00000"/>
          <w:spacing w:val="-1"/>
          <w:sz w:val="24"/>
          <w:szCs w:val="24"/>
          <w:u w:val="single" w:color="FF0000"/>
        </w:rPr>
        <w:t>火灾探测器、手动火灾报警按钮、火灾声光警报器、消防应急广播、</w:t>
      </w:r>
      <w:r>
        <w:rPr>
          <w:rFonts w:hint="eastAsia" w:ascii="宋体" w:hAnsi="宋体" w:eastAsia="宋体" w:cs="宋体"/>
          <w:color w:val="C00000"/>
          <w:spacing w:val="4"/>
          <w:sz w:val="24"/>
          <w:szCs w:val="24"/>
          <w:u w:val="single" w:color="FF0000"/>
        </w:rPr>
        <w:t>消防专用电话、消防控制室图形显示装置、火灾报警控制器、消防</w:t>
      </w:r>
      <w:r>
        <w:rPr>
          <w:rFonts w:hint="eastAsia" w:ascii="宋体" w:hAnsi="宋体" w:eastAsia="宋体" w:cs="宋体"/>
          <w:color w:val="C00000"/>
          <w:spacing w:val="3"/>
          <w:sz w:val="24"/>
          <w:szCs w:val="24"/>
          <w:u w:val="single" w:color="FF0000"/>
        </w:rPr>
        <w:t>联动控制器</w:t>
      </w:r>
      <w:r>
        <w:rPr>
          <w:rFonts w:hint="eastAsia" w:ascii="宋体" w:hAnsi="宋体" w:eastAsia="宋体" w:cs="宋体"/>
          <w:color w:val="C00000"/>
          <w:spacing w:val="-3"/>
          <w:sz w:val="24"/>
          <w:szCs w:val="24"/>
        </w:rPr>
        <w:t>等组成。</w:t>
      </w:r>
    </w:p>
    <w:p w14:paraId="0458CE6E">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C00000"/>
          <w:sz w:val="24"/>
          <w:szCs w:val="24"/>
        </w:rPr>
      </w:pPr>
      <w:r>
        <w:rPr>
          <w:rFonts w:hint="eastAsia" w:ascii="宋体" w:hAnsi="宋体" w:eastAsia="宋体" w:cs="宋体"/>
          <w:color w:val="C00000"/>
          <w:sz w:val="24"/>
          <w:szCs w:val="24"/>
        </w:rPr>
        <w:t>原系统</w:t>
      </w:r>
      <w:r>
        <w:rPr>
          <w:rFonts w:hint="eastAsia" w:ascii="宋体" w:hAnsi="宋体" w:eastAsia="宋体" w:cs="宋体"/>
          <w:color w:val="C00000"/>
          <w:spacing w:val="39"/>
          <w:sz w:val="24"/>
          <w:szCs w:val="24"/>
        </w:rPr>
        <w:t xml:space="preserve"> </w:t>
      </w:r>
      <w:r>
        <w:rPr>
          <w:rFonts w:hint="eastAsia" w:ascii="宋体" w:hAnsi="宋体" w:eastAsia="宋体" w:cs="宋体"/>
          <w:color w:val="C00000"/>
          <w:sz w:val="24"/>
          <w:szCs w:val="24"/>
        </w:rPr>
        <w:sym w:font="Wingdings 2" w:char="0052"/>
      </w:r>
      <w:r>
        <w:rPr>
          <w:rFonts w:hint="eastAsia" w:ascii="宋体" w:hAnsi="宋体" w:eastAsia="宋体" w:cs="宋体"/>
          <w:color w:val="C00000"/>
          <w:sz w:val="24"/>
          <w:szCs w:val="24"/>
        </w:rPr>
        <w:t>是</w:t>
      </w:r>
      <w:r>
        <w:rPr>
          <w:rFonts w:hint="eastAsia" w:ascii="宋体" w:hAnsi="宋体" w:eastAsia="宋体" w:cs="宋体"/>
          <w:color w:val="C00000"/>
          <w:spacing w:val="-26"/>
          <w:sz w:val="24"/>
          <w:szCs w:val="24"/>
        </w:rPr>
        <w:t xml:space="preserve"> </w:t>
      </w:r>
      <w:r>
        <w:rPr>
          <w:rFonts w:hint="eastAsia" w:ascii="宋体" w:hAnsi="宋体" w:eastAsia="宋体" w:cs="宋体"/>
          <w:color w:val="C00000"/>
          <w:sz w:val="24"/>
          <w:szCs w:val="24"/>
        </w:rPr>
        <w:t>□否 满足改造后火灾自动报警系统接入原系统时的系</w:t>
      </w:r>
      <w:r>
        <w:rPr>
          <w:rFonts w:hint="eastAsia" w:ascii="宋体" w:hAnsi="宋体" w:eastAsia="宋体" w:cs="宋体"/>
          <w:color w:val="C00000"/>
          <w:spacing w:val="-1"/>
          <w:sz w:val="24"/>
          <w:szCs w:val="24"/>
        </w:rPr>
        <w:t>统兼容</w:t>
      </w:r>
      <w:r>
        <w:rPr>
          <w:rFonts w:hint="eastAsia" w:ascii="宋体" w:hAnsi="宋体" w:eastAsia="宋体" w:cs="宋体"/>
          <w:color w:val="C00000"/>
          <w:spacing w:val="-5"/>
          <w:sz w:val="24"/>
          <w:szCs w:val="24"/>
        </w:rPr>
        <w:t>要求。本次改造措施为</w:t>
      </w:r>
      <w:r>
        <w:rPr>
          <w:rFonts w:hint="eastAsia" w:ascii="宋体" w:hAnsi="宋体" w:eastAsia="宋体" w:cs="宋体"/>
          <w:color w:val="C00000"/>
          <w:sz w:val="24"/>
          <w:szCs w:val="24"/>
          <w:u w:val="single" w:color="FF0000"/>
        </w:rPr>
        <w:t xml:space="preserve"> 依据最新布局调整火灾自动报警系统</w:t>
      </w:r>
      <w:r>
        <w:rPr>
          <w:rFonts w:hint="eastAsia" w:ascii="宋体" w:hAnsi="宋体" w:eastAsia="宋体" w:cs="宋体"/>
          <w:color w:val="C00000"/>
          <w:spacing w:val="-5"/>
          <w:sz w:val="24"/>
          <w:szCs w:val="24"/>
          <w:u w:color="FF0000"/>
        </w:rPr>
        <w:t xml:space="preserve"> </w:t>
      </w:r>
      <w:r>
        <w:rPr>
          <w:rFonts w:hint="eastAsia" w:ascii="宋体" w:hAnsi="宋体" w:eastAsia="宋体" w:cs="宋体"/>
          <w:color w:val="C00000"/>
          <w:spacing w:val="-5"/>
          <w:sz w:val="24"/>
          <w:szCs w:val="24"/>
        </w:rPr>
        <w:t>。</w:t>
      </w:r>
    </w:p>
    <w:p w14:paraId="542D790B">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（以下内容按照新增火灾报警控制器为例供参考，具体需按实际改造情况填写）</w:t>
      </w:r>
    </w:p>
    <w:p w14:paraId="5011ECBB">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pacing w:val="-2"/>
          <w:sz w:val="24"/>
          <w:szCs w:val="24"/>
        </w:rPr>
      </w:pPr>
      <w:r>
        <w:rPr>
          <w:rFonts w:hint="eastAsia" w:ascii="宋体" w:hAnsi="宋体" w:eastAsia="宋体" w:cs="宋体"/>
          <w:color w:val="C00000"/>
          <w:spacing w:val="-2"/>
          <w:sz w:val="24"/>
          <w:szCs w:val="24"/>
        </w:rPr>
        <w:t>5.4.2 消防控制室</w:t>
      </w:r>
    </w:p>
    <w:p w14:paraId="35FC81FB">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应急疏散照明本次改造设计按照《消防应急照明和疏散指示系统技术标准》GB51309-2018及《建筑防火通用规范》GB55037-2022实施，采用集中电源集中控制系统。消防控制中心增设应急疏散照明控制器。</w:t>
      </w:r>
    </w:p>
    <w:p w14:paraId="2BAEAA88">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火灾自动报警系统本次改造设计按照《火灾自动报警系统设计规范》GB50116-2013实施，消防控制室原火灾自动报警系统主机本次升级改造，改造后需与防火门监控主机、应急照明控制主机、电气火灾监控主机及消防电源监控主机具备兼容的通讯协议接口并可靠通讯连接，确保项目的消防系统整体正常运行。</w:t>
      </w:r>
    </w:p>
    <w:p w14:paraId="732904F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本工程消防控制室设置在</w:t>
      </w:r>
      <w:r>
        <w:rPr>
          <w:rFonts w:hint="eastAsia" w:ascii="宋体" w:hAnsi="宋体" w:eastAsia="宋体" w:cs="宋体"/>
          <w:color w:val="0D0D0D" w:themeColor="text1" w:themeTint="F2"/>
          <w:spacing w:val="-1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u w:val="single" w:color="FF0000"/>
          <w14:textFill>
            <w14:solidFill>
              <w14:schemeClr w14:val="tx1">
                <w14:lumMod w14:val="95000"/>
                <w14:lumOff w14:val="5000"/>
              </w14:schemeClr>
            </w14:solidFill>
          </w14:textFill>
        </w:rPr>
        <w:t>本栋D区一层</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，改造后</w:t>
      </w:r>
      <w:r>
        <w:rPr>
          <w:rFonts w:hint="eastAsia" w:ascii="宋体" w:hAnsi="宋体" w:eastAsia="宋体" w:cs="宋体"/>
          <w:color w:val="0D0D0D" w:themeColor="text1" w:themeTint="F2"/>
          <w:spacing w:val="3"/>
          <w:sz w:val="24"/>
          <w:szCs w:val="24"/>
          <w:u w:val="single" w:color="FF0000"/>
          <w14:textFill>
            <w14:solidFill>
              <w14:schemeClr w14:val="tx1">
                <w14:lumMod w14:val="95000"/>
                <w14:lumOff w14:val="5000"/>
              </w14:schemeClr>
            </w14:solidFill>
          </w14:textFill>
        </w:rPr>
        <w:t>维持原</w:t>
      </w:r>
      <w:r>
        <w:rPr>
          <w:rFonts w:hint="eastAsia" w:ascii="宋体" w:hAnsi="宋体" w:eastAsia="宋体" w:cs="宋体"/>
          <w:color w:val="0D0D0D" w:themeColor="text1" w:themeTint="F2"/>
          <w:spacing w:val="2"/>
          <w:sz w:val="24"/>
          <w:szCs w:val="24"/>
          <w:u w:val="single" w:color="FF0000"/>
          <w14:textFill>
            <w14:solidFill>
              <w14:schemeClr w14:val="tx1">
                <w14:lumMod w14:val="95000"/>
                <w14:lumOff w14:val="5000"/>
              </w14:schemeClr>
            </w14:solidFill>
          </w14:textFill>
        </w:rPr>
        <w:t>有位置，面积不变，</w:t>
      </w:r>
      <w:r>
        <w:rPr>
          <w:rFonts w:hint="eastAsia" w:ascii="宋体" w:hAnsi="宋体" w:eastAsia="宋体" w:cs="宋体"/>
          <w:color w:val="0D0D0D" w:themeColor="text1" w:themeTint="F2"/>
          <w:spacing w:val="-1"/>
          <w:sz w:val="24"/>
          <w:szCs w:val="24"/>
          <w:u w:val="single" w:color="FF0000"/>
          <w14:textFill>
            <w14:solidFill>
              <w14:schemeClr w14:val="tx1">
                <w14:lumMod w14:val="95000"/>
                <w14:lumOff w14:val="5000"/>
              </w14:schemeClr>
            </w14:solidFill>
          </w14:textFill>
        </w:rPr>
        <w:t>满足现有消防控制室设备安装的要求</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w:t>
      </w:r>
    </w:p>
    <w:p w14:paraId="6D8B08C7">
      <w:pPr>
        <w:keepNext w:val="0"/>
        <w:keepLines/>
        <w:pageBreakBefore w:val="0"/>
        <w:wordWrap/>
        <w:topLinePunct w:val="0"/>
        <w:bidi w:val="0"/>
        <w:spacing w:line="288" w:lineRule="auto"/>
        <w:ind w:left="0" w:leftChars="0" w:right="0" w:rightChars="0" w:firstLine="472"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 消防控制室室内设置的消防设备包括火灾报警控制器、消防联动控制器、</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消防控制室图形显示装置、消防专用电话总机、消防应急广播控制装置、消防应急照明和疏散指示系统控制装置、消防电源监控器等设备或具有相应功能的组合设备。消防控制室室内设置的消防控制室图形显示装置能显示《火灾自动</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报警系统设计规范》附录</w:t>
      </w:r>
      <w:r>
        <w:rPr>
          <w:rFonts w:hint="eastAsia" w:ascii="宋体" w:hAnsi="宋体" w:eastAsia="宋体" w:cs="宋体"/>
          <w:color w:val="0D0D0D" w:themeColor="text1" w:themeTint="F2"/>
          <w:spacing w:val="-4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A</w:t>
      </w:r>
      <w:r>
        <w:rPr>
          <w:rFonts w:hint="eastAsia" w:ascii="宋体" w:hAnsi="宋体" w:eastAsia="宋体" w:cs="宋体"/>
          <w:color w:val="0D0D0D" w:themeColor="text1" w:themeTint="F2"/>
          <w:spacing w:val="-4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规定的建筑物内设置的全部消防系统及相关设备的</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动态信息和附录</w:t>
      </w:r>
      <w:r>
        <w:rPr>
          <w:rFonts w:hint="eastAsia" w:ascii="宋体" w:hAnsi="宋体" w:eastAsia="宋体" w:cs="宋体"/>
          <w:color w:val="0D0D0D" w:themeColor="text1" w:themeTint="F2"/>
          <w:spacing w:val="-4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4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规定的消防安全管理信息，并为远程监控系统预留接口，同</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时具有向远程监控系统传输附录</w:t>
      </w:r>
      <w:r>
        <w:rPr>
          <w:rFonts w:hint="eastAsia" w:ascii="宋体" w:hAnsi="宋体" w:eastAsia="宋体" w:cs="宋体"/>
          <w:color w:val="0D0D0D" w:themeColor="text1" w:themeTint="F2"/>
          <w:spacing w:val="-4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A</w:t>
      </w:r>
      <w:r>
        <w:rPr>
          <w:rFonts w:hint="eastAsia" w:ascii="宋体" w:hAnsi="宋体" w:eastAsia="宋体" w:cs="宋体"/>
          <w:color w:val="0D0D0D" w:themeColor="text1" w:themeTint="F2"/>
          <w:spacing w:val="-4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和附录</w:t>
      </w:r>
      <w:r>
        <w:rPr>
          <w:rFonts w:hint="eastAsia" w:ascii="宋体" w:hAnsi="宋体" w:eastAsia="宋体" w:cs="宋体"/>
          <w:color w:val="0D0D0D" w:themeColor="text1" w:themeTint="F2"/>
          <w:spacing w:val="-5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5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规定的有关信息的功能。</w:t>
      </w:r>
    </w:p>
    <w:p w14:paraId="1DE563D6">
      <w:pPr>
        <w:keepNext w:val="0"/>
        <w:keepLines/>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t>3 消防控制室内严禁穿过与消防设施无关的电气线路及管路，并设有可直</w:t>
      </w:r>
      <w:r>
        <w:rPr>
          <w:rFonts w:hint="eastAsia" w:ascii="宋体" w:hAnsi="宋体" w:eastAsia="宋体" w:cs="宋体"/>
          <w:color w:val="0D0D0D" w:themeColor="text1" w:themeTint="F2"/>
          <w:spacing w:val="4"/>
          <w:position w:val="17"/>
          <w:sz w:val="24"/>
          <w:szCs w:val="24"/>
          <w:lang w:val="en-US" w:eastAsia="zh-CN"/>
          <w14:textFill>
            <w14:solidFill>
              <w14:schemeClr w14:val="tx1">
                <w14:lumMod w14:val="95000"/>
                <w14:lumOff w14:val="5000"/>
              </w14:schemeClr>
            </w14:solidFill>
          </w14:textFill>
        </w:rPr>
        <w:t>接</w:t>
      </w:r>
      <w:r>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t>报警的外线电话。</w:t>
      </w:r>
    </w:p>
    <w:p w14:paraId="5EF5BFAA">
      <w:pPr>
        <w:keepNext w:val="0"/>
        <w:keepLines/>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4 消防控制中心（室）设置云台网络视频摄像头，视频信息可实时传输至当地消防设施联网监测中心，本地存储不少于 2 天的视频信息。云台网络视频</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摄像头的通信协议符合</w:t>
      </w:r>
      <w:r>
        <w:rPr>
          <w:rFonts w:hint="eastAsia" w:ascii="宋体" w:hAnsi="宋体" w:eastAsia="宋体" w:cs="宋体"/>
          <w:color w:val="0D0D0D" w:themeColor="text1" w:themeTint="F2"/>
          <w:spacing w:val="-4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ONVIF</w:t>
      </w:r>
      <w:r>
        <w:rPr>
          <w:rFonts w:hint="eastAsia" w:ascii="宋体" w:hAnsi="宋体" w:eastAsia="宋体" w:cs="宋体"/>
          <w:color w:val="0D0D0D" w:themeColor="text1" w:themeTint="F2"/>
          <w:spacing w:val="-5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通信协议。</w:t>
      </w:r>
    </w:p>
    <w:p w14:paraId="426E002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5.4.3 系统设备的设置</w:t>
      </w:r>
    </w:p>
    <w:p w14:paraId="2BC4B7AE">
      <w:pPr>
        <w:keepNext w:val="0"/>
        <w:keepLines/>
        <w:pageBreakBefore w:val="0"/>
        <w:wordWrap/>
        <w:topLinePunct w:val="0"/>
        <w:bidi w:val="0"/>
        <w:spacing w:line="288" w:lineRule="auto"/>
        <w:ind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 任一台火灾报警控制器所连接的火灾探</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测器、手动火灾报警按钮和模块</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等设备总数和地址总数，均不超过</w:t>
      </w:r>
      <w:r>
        <w:rPr>
          <w:rFonts w:hint="eastAsia" w:ascii="宋体" w:hAnsi="宋体" w:eastAsia="宋体" w:cs="宋体"/>
          <w:color w:val="0D0D0D" w:themeColor="text1" w:themeTint="F2"/>
          <w:spacing w:val="-3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3200</w:t>
      </w:r>
      <w:r>
        <w:rPr>
          <w:rFonts w:hint="eastAsia" w:ascii="宋体" w:hAnsi="宋体" w:eastAsia="宋体" w:cs="宋体"/>
          <w:color w:val="0D0D0D" w:themeColor="text1" w:themeTint="F2"/>
          <w:spacing w:val="-3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点，其中每一总线回路连接设备的总数</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不超过</w:t>
      </w:r>
      <w:r>
        <w:rPr>
          <w:rFonts w:hint="eastAsia" w:ascii="宋体" w:hAnsi="宋体" w:eastAsia="宋体" w:cs="宋体"/>
          <w:color w:val="0D0D0D" w:themeColor="text1" w:themeTint="F2"/>
          <w:spacing w:val="-4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200</w:t>
      </w:r>
      <w:r>
        <w:rPr>
          <w:rFonts w:hint="eastAsia" w:ascii="宋体" w:hAnsi="宋体" w:eastAsia="宋体" w:cs="宋体"/>
          <w:color w:val="0D0D0D" w:themeColor="text1" w:themeTint="F2"/>
          <w:spacing w:val="-3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点，且留有不少于额定容量</w:t>
      </w:r>
      <w:r>
        <w:rPr>
          <w:rFonts w:hint="eastAsia" w:ascii="宋体" w:hAnsi="宋体" w:eastAsia="宋体" w:cs="宋体"/>
          <w:color w:val="0D0D0D" w:themeColor="text1" w:themeTint="F2"/>
          <w:spacing w:val="-2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10％的余量；任一台消防联动控制器地</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址总数或火灾报警控制器(联动型)所控制的各类模块总数不超过</w:t>
      </w:r>
      <w:r>
        <w:rPr>
          <w:rFonts w:hint="eastAsia" w:ascii="宋体" w:hAnsi="宋体" w:eastAsia="宋体" w:cs="宋体"/>
          <w:color w:val="0D0D0D" w:themeColor="text1" w:themeTint="F2"/>
          <w:spacing w:val="-3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1600</w:t>
      </w:r>
      <w:r>
        <w:rPr>
          <w:rFonts w:hint="eastAsia" w:ascii="宋体" w:hAnsi="宋体" w:eastAsia="宋体" w:cs="宋体"/>
          <w:color w:val="0D0D0D" w:themeColor="text1" w:themeTint="F2"/>
          <w:spacing w:val="-3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点，每一</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联动总线回路连接设备的总数不超过</w:t>
      </w:r>
      <w:r>
        <w:rPr>
          <w:rFonts w:hint="eastAsia" w:ascii="宋体" w:hAnsi="宋体" w:eastAsia="宋体" w:cs="宋体"/>
          <w:color w:val="0D0D0D" w:themeColor="text1" w:themeTint="F2"/>
          <w:spacing w:val="-3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100</w:t>
      </w:r>
      <w:r>
        <w:rPr>
          <w:rFonts w:hint="eastAsia" w:ascii="宋体" w:hAnsi="宋体" w:eastAsia="宋体" w:cs="宋体"/>
          <w:color w:val="0D0D0D" w:themeColor="text1" w:themeTint="F2"/>
          <w:spacing w:val="-3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点，且留有不</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少于额定容量</w:t>
      </w:r>
      <w:r>
        <w:rPr>
          <w:rFonts w:hint="eastAsia" w:ascii="宋体" w:hAnsi="宋体" w:eastAsia="宋体" w:cs="宋体"/>
          <w:color w:val="0D0D0D" w:themeColor="text1" w:themeTint="F2"/>
          <w:spacing w:val="-3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10％的余</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量。</w:t>
      </w:r>
    </w:p>
    <w:p w14:paraId="58CF3EF6">
      <w:pPr>
        <w:keepNext w:val="0"/>
        <w:keepLines/>
        <w:pageBreakBefore w:val="0"/>
        <w:wordWrap/>
        <w:topLinePunct w:val="0"/>
        <w:bidi w:val="0"/>
        <w:spacing w:line="288" w:lineRule="auto"/>
        <w:ind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2 系统总线上设置总线短路隔离器，每只总线短路隔离器保护的火灾探测</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器、手动火灾报警按钮和模块等消防设备的总数不超过</w:t>
      </w:r>
      <w:r>
        <w:rPr>
          <w:rFonts w:hint="eastAsia" w:ascii="宋体" w:hAnsi="宋体" w:eastAsia="宋体" w:cs="宋体"/>
          <w:color w:val="0D0D0D" w:themeColor="text1" w:themeTint="F2"/>
          <w:spacing w:val="-3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32</w:t>
      </w:r>
      <w:r>
        <w:rPr>
          <w:rFonts w:hint="eastAsia" w:ascii="宋体" w:hAnsi="宋体" w:eastAsia="宋体" w:cs="宋体"/>
          <w:color w:val="0D0D0D" w:themeColor="text1" w:themeTint="F2"/>
          <w:spacing w:val="-3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点；总线穿越防火分</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区时，在穿越处设置总线短路隔离器。</w:t>
      </w:r>
    </w:p>
    <w:p w14:paraId="46996FF4">
      <w:pPr>
        <w:keepNext w:val="0"/>
        <w:keepLines/>
        <w:pageBreakBefore w:val="0"/>
        <w:wordWrap/>
        <w:topLinePunct w:val="0"/>
        <w:bidi w:val="0"/>
        <w:spacing w:line="288" w:lineRule="auto"/>
        <w:ind w:right="0" w:rightChars="0" w:firstLine="476" w:firstLineChars="200"/>
        <w:jc w:val="left"/>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3 每个报警区域在出入口等明显和便于操作的部位设置一台火灾显示盘</w:t>
      </w:r>
      <w:r>
        <w:rPr>
          <w:rFonts w:hint="eastAsia" w:ascii="宋体" w:hAnsi="宋体" w:eastAsia="宋体" w:cs="宋体"/>
          <w:color w:val="0D0D0D" w:themeColor="text1" w:themeTint="F2"/>
          <w:spacing w:val="-1"/>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显</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示本层火灾部位等情况</w:t>
      </w:r>
      <w:r>
        <w:rPr>
          <w:rFonts w:hint="eastAsia" w:ascii="宋体" w:hAnsi="宋体" w:eastAsia="宋体" w:cs="宋体"/>
          <w:color w:val="0D0D0D" w:themeColor="text1" w:themeTint="F2"/>
          <w:spacing w:val="-1"/>
          <w:sz w:val="24"/>
          <w:szCs w:val="24"/>
          <w:lang w:eastAsia="zh-CN"/>
          <w14:textFill>
            <w14:solidFill>
              <w14:schemeClr w14:val="tx1">
                <w14:lumMod w14:val="95000"/>
                <w14:lumOff w14:val="5000"/>
              </w14:schemeClr>
            </w14:solidFill>
          </w14:textFill>
        </w:rPr>
        <w:t>。</w:t>
      </w:r>
    </w:p>
    <w:p w14:paraId="5ED6E980">
      <w:pPr>
        <w:keepNext w:val="0"/>
        <w:keepLines/>
        <w:pageBreakBefore w:val="0"/>
        <w:wordWrap/>
        <w:topLinePunct w:val="0"/>
        <w:bidi w:val="0"/>
        <w:spacing w:line="288" w:lineRule="auto"/>
        <w:ind w:right="0" w:rightChars="0" w:firstLine="49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4 各探测区域按规范要求设置火灾探测器, 火灾探测器的选择为以设置光</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电感烟探测器为主，变电所设感温感烟复合型探测器，大空间场所设红外对射</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感烟探测器及图像型火灾探测器组合等。</w:t>
      </w:r>
    </w:p>
    <w:p w14:paraId="3A8A4C6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 各防火分区的出入口和公共走道上明显部位及便于操作的部位设置火</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灾</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报警按钮保证在防火分区内任何位置至手动报警按钮的步行距离不大于 30 米。</w:t>
      </w:r>
    </w:p>
    <w:p w14:paraId="692904E0">
      <w:pPr>
        <w:keepNext w:val="0"/>
        <w:keepLines/>
        <w:pageBreakBefore w:val="0"/>
        <w:wordWrap/>
        <w:topLinePunct w:val="0"/>
        <w:bidi w:val="0"/>
        <w:spacing w:line="288" w:lineRule="auto"/>
        <w:ind w:left="0" w:leftChars="0" w:right="0" w:rightChars="0" w:firstLine="496" w:firstLineChars="200"/>
        <w:jc w:val="left"/>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t>6 在每个楼层的楼梯口、消防电梯前室、建筑内部拐角等处的</w:t>
      </w:r>
      <w:r>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t>明显部位</w:t>
      </w:r>
      <w:r>
        <w:rPr>
          <w:rFonts w:hint="eastAsia" w:ascii="宋体" w:hAnsi="宋体" w:eastAsia="宋体" w:cs="宋体"/>
          <w:color w:val="0D0D0D" w:themeColor="text1" w:themeTint="F2"/>
          <w:spacing w:val="4"/>
          <w:position w:val="17"/>
          <w:sz w:val="24"/>
          <w:szCs w:val="24"/>
          <w:lang w:val="en-US" w:eastAsia="zh-CN"/>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4"/>
          <w:position w:val="17"/>
          <w:sz w:val="24"/>
          <w:szCs w:val="24"/>
          <w14:textFill>
            <w14:solidFill>
              <w14:schemeClr w14:val="tx1">
                <w14:lumMod w14:val="95000"/>
                <w14:lumOff w14:val="5000"/>
              </w14:schemeClr>
            </w14:solidFill>
          </w14:textFill>
        </w:rPr>
        <w:t>置火灾光警报器。</w:t>
      </w:r>
    </w:p>
    <w:p w14:paraId="7507373F">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7 本工程各报警区域内的模块采用相对集中设置在本报警区域内的金属模块箱内，未集中设置的模块附近设置尺寸不小于 100mmx100mm 的标识，模块严禁设置在配电（控制）柜（箱）内，本报警区域内的模块不控制其他报警区域的设备。</w:t>
      </w:r>
    </w:p>
    <w:p w14:paraId="2041C37E">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8 消防控制室图形显示装置与火灾报警控制器、消防联动控制器、电气火灾监控器、可燃气体报警控制器等消防设备之间，采用专用线路连接。</w:t>
      </w:r>
    </w:p>
    <w:p w14:paraId="7CA0F35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position w:val="17"/>
          <w:sz w:val="24"/>
          <w:szCs w:val="24"/>
          <w14:textFill>
            <w14:solidFill>
              <w14:schemeClr w14:val="tx1">
                <w14:lumMod w14:val="95000"/>
                <w14:lumOff w14:val="5000"/>
              </w14:schemeClr>
            </w14:solidFill>
          </w14:textFill>
        </w:rPr>
        <w:t>5.4.4 消防联动控制</w:t>
      </w:r>
    </w:p>
    <w:p w14:paraId="7134AB4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一般规定</w:t>
      </w:r>
    </w:p>
    <w:p w14:paraId="55B186B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1）消防联动控制器能按规定的控制逻辑向各相关的受控设备发出联动控制信号，并接受相关设备的联动反馈信号。</w:t>
      </w:r>
    </w:p>
    <w:p w14:paraId="6063B95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2）消防联动控制器的电压控制输出采用直流 24V，其电源容量满足受控消</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防</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设备同时启动且维持工作的控制容量要求。</w:t>
      </w:r>
    </w:p>
    <w:p w14:paraId="512AB365">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3）各受控设备接口的特性参数与消防联动控制器发出的联动控制信号相匹配。</w:t>
      </w:r>
    </w:p>
    <w:p w14:paraId="78C76CF4">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4）消防水泵、防烟和排烟风机的控制设备，除采用联动控制方式外，还在消防控制室设置手动直接控制装置。</w:t>
      </w:r>
    </w:p>
    <w:p w14:paraId="63CA91D5">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5）需要火灾自动报警系统联动控制的消防设备，其联动触发信号采用两个独立的报警触发装置报警信号的“与 ”逻辑组合。</w:t>
      </w:r>
    </w:p>
    <w:p w14:paraId="697B30D4">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消火栓系统的控制</w:t>
      </w:r>
    </w:p>
    <w:p w14:paraId="02CF46C4">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联动控制方式：由消火栓系统出水干管上设置的低压压力开关、高位消防水箱出水管上设置的流量开关或报警阀压力开关等信号作为触发信号,直接控制启动消火栓泵，联动控制不受消防联动控制器处于自动或手动状态影响。消火</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栓</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按钮的动作信号作为报警信号及启动消火栓泵的联动触发信号，由消防联动控制器联动控制消火栓泵的启动。</w:t>
      </w:r>
    </w:p>
    <w:p w14:paraId="5862882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2）手动控制方式：将消火栓泵控制箱（柜）的启动、停止按钮用专用线路直接连接至消防控制中心内的消防联动控制器的手动控制盘，直接手动控制消火</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栓</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泵的启动、停止。</w:t>
      </w:r>
    </w:p>
    <w:p w14:paraId="2BDD0215">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3）消火栓泵的运行、故障信号、压力开关信号、消防水箱水位信号应反馈</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至</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消防联动控制器。</w:t>
      </w:r>
    </w:p>
    <w:p w14:paraId="454EDB43">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自动喷水灭火系统的控制</w:t>
      </w:r>
    </w:p>
    <w:p w14:paraId="555973F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1）联动控制方式：湿式系统由消防水泵出水干管上设置的压力开关、高位消防水箱出水管上的流量开关和报警阀组压力开关直接自动启动消防水泵；联动</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控</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制不受消防联动控制器处于自动或手动状态影响。</w:t>
      </w:r>
    </w:p>
    <w:p w14:paraId="03859E4F">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2）手动控制方式：将喷淋消防泵控制箱（柜）的启动、停止按钮用专用线路直接连接至消防控制中心内的消防联动控制器的手动控制盘，直接手动控制消火栓泵的启动、停止。</w:t>
      </w:r>
    </w:p>
    <w:p w14:paraId="5603F8F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3）水流指示器、信号阀、压力开关、喷淋消防泵的启动和停止的动作信号应反馈至消防联动控制器。</w:t>
      </w:r>
    </w:p>
    <w:p w14:paraId="0FF50EE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 防排烟系统的控制</w:t>
      </w:r>
    </w:p>
    <w:p w14:paraId="3D726593">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1）防烟系统的联动控制方式</w:t>
      </w:r>
    </w:p>
    <w:p w14:paraId="0AEC0D7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a.由加压送风口所在防火分区内的两只独立的火灾探测器或一只火灾探测器与一只手动火灾报警按钮的报警信号，作为送风口开启和加压送风机启动的联动触发信号，并应由消防联动控制器联动控制相关层前室等需要加压送风场所的加压送风口开启和加压送风机启动。</w:t>
      </w:r>
    </w:p>
    <w:p w14:paraId="0921BE8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b.系统中任一常闭加压送风口开启时，加压风机自动启动。</w:t>
      </w:r>
    </w:p>
    <w:p w14:paraId="494F5F8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c.当防火分区内火灾确认后，在 15s 内联动开启该防火分区楼梯间的全部加压送风机并同时开启该防火分区内着火层及其相邻上下层前室及合用前室的常闭加压送风口。</w:t>
      </w:r>
    </w:p>
    <w:p w14:paraId="6B68FB7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d.由同一防烟分区内且位于电动挡烟垂壁附近的两只独立的感烟火灾探测器的报警信号，作为电动挡烟垂壁降落的联动触发信号，并由消防联动控制器联动控制器联动控制电动挡烟垂壁的降落。</w:t>
      </w:r>
    </w:p>
    <w:p w14:paraId="7F38ADDE">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2）排烟系统的联动控制方式</w:t>
      </w:r>
    </w:p>
    <w:p w14:paraId="32F9ABF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a.由同一防烟分区内的两只独立的火灾探测器的报警信号，作为排烟口、排烟窗或排烟阀开启的联动触发信号，并由消防联动控制器联动控制排烟口、排烟窗或排烟阀的开启，同时停止该防烟分区的空气调节系统。</w:t>
      </w:r>
    </w:p>
    <w:p w14:paraId="3AE7B1EF">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b.由排烟口或排烟阀开启的动作信号，作为排烟风机启动的联动触发信号，并由消防联动控制器联动控制排烟风机的启动。</w:t>
      </w:r>
    </w:p>
    <w:p w14:paraId="40B3691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c.系统中任一排烟阀或排烟口开启时，排烟风机、补风机自动启动。</w:t>
      </w:r>
    </w:p>
    <w:p w14:paraId="012C43EC">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3）防烟系统、排烟系统的手动控制方式</w:t>
      </w:r>
    </w:p>
    <w:p w14:paraId="03BDEB37">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在消防控制室内的消防联动控制器上手动控制送风口、电动挡烟垂壁、排烟口、排烟窗、排烟阀的开启或关闭及防烟风机、排烟风机等设备的启动或停止，防烟、排烟风机的启动、停止按钮采用专用线路直接连接至设置在消防控制室内的消防联动控制器的手动控制盘，并直接手动控制防烟、排烟风机的启动、停止。</w:t>
      </w:r>
    </w:p>
    <w:p w14:paraId="71DCDBE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4）送风口、排烟口或排烟阀开启和关闭的动作信号，防烟、排烟风机启动和停止及电动防火阀关闭的动作信号，均反馈至消防联动控制器。</w:t>
      </w:r>
    </w:p>
    <w:p w14:paraId="30A28F7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5）排烟风机入口处的总管上排烟防火阀在 280℃时自行关闭，并连锁关闭排烟风机和补风机。排烟防火阀及风机的动作信号反馈至消防联动控制器。</w:t>
      </w:r>
    </w:p>
    <w:p w14:paraId="125B2297">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 防火卷帘系统的控制</w:t>
      </w:r>
    </w:p>
    <w:p w14:paraId="21256623">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1）防火卷帘的升降由防火卷帘控制器控制。</w:t>
      </w:r>
    </w:p>
    <w:p w14:paraId="1985D6D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2）疏散通道上设置的防火卷帘的控制方式</w:t>
      </w:r>
    </w:p>
    <w:p w14:paraId="0F34673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a.联动控制方式：防火分区内任两只独立的感烟火灾探测器或任一只专门用于联动防火卷帘的感烟火灾探测器的报警信号联动控制防火卷帘下降至距楼板面 1.8m 处；任一只专门用于联动防火卷帘的感温火灾探测器的报警信号联动控制</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防</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火卷帘下降到楼板面；在卷帘的任一侧距卷帘纵深 0.5m～5m 内设置不少于 2 只专门用于联动防火卷帘的感温火灾探测器。</w:t>
      </w:r>
    </w:p>
    <w:p w14:paraId="3A89DA1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b.手动控制方式，由防火卷帘两侧设置的手动控制按钮控制防火卷帘的升降。</w:t>
      </w:r>
    </w:p>
    <w:p w14:paraId="0C114B0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3）非疏散通道上设置的防火卷帘的的控制方式</w:t>
      </w:r>
    </w:p>
    <w:p w14:paraId="66C68D04">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a.联动控制方式：由防火卷帘所在防火分区内任两只独立的火灾探测器的报警信号，作为防火卷帘下降的联动触发信号，并联动控制防火卷帘直接下降到楼板面。</w:t>
      </w:r>
    </w:p>
    <w:p w14:paraId="00AC243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b.手动控制方式：由防火卷帘两侧设置的手动控制按钮控制防火卷帘的升降，并能在消防控制室内的消防联动控制器上手动控制防火卷帘的降落。</w:t>
      </w:r>
    </w:p>
    <w:p w14:paraId="7F444AF0">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4）防火卷帘下降至距楼板面 1.8m 处、下降到楼板面的动作信号和防火卷帘控制器直接连接的感烟、感温火灾探测器的报警信号，反馈至消防联动控制器。</w:t>
      </w:r>
    </w:p>
    <w:p w14:paraId="2D30AFC0">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6 防火门系统的联动控制</w:t>
      </w:r>
    </w:p>
    <w:p w14:paraId="0D9A6D55">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由常开防火门所在防火分区内的两只独立的火灾探测器或一只火灾探测器与一只手动火灾报警按钮的报警信号，作为常开防火门关闭的联动触发信号，联动触发信号由火灾报警控制器或消防联动控制器发出，由消防联动控制器或防火门监控器联动控制防火门关闭。</w:t>
      </w:r>
    </w:p>
    <w:p w14:paraId="197F1AD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2）疏散通道上各防火门的开启、关闭及故障状态信号反馈至防火门监控器。</w:t>
      </w:r>
    </w:p>
    <w:p w14:paraId="2D67DCF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7 电梯的联动控制</w:t>
      </w:r>
    </w:p>
    <w:p w14:paraId="270E8A0E">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1）消防联动控制器具有发出联动控制信号强制所有电梯停于首层或电梯转换层的功能。</w:t>
      </w:r>
    </w:p>
    <w:p w14:paraId="0262546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2）电梯运行状态信息和停于首层或转换层的反馈信号，传送给消防控制室显示，轿箱内设置能直接与消防控制室通话的专用电话。</w:t>
      </w:r>
    </w:p>
    <w:p w14:paraId="4A18EF0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8 消防应急照明及疏散指示系统的控制</w:t>
      </w:r>
    </w:p>
    <w:p w14:paraId="2394176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1）集中控制型消防应急照明和疏散指示系统，应由火灾报警控制器或消防联动控制器启动应急照明控制器实现。</w:t>
      </w:r>
    </w:p>
    <w:p w14:paraId="19416A0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2）当确认火灾后，由发生火灾的报警区域开始，顺序启动全楼疏散通道的消防应急照明和疏散指示系统，系统全部投入应急状态的启动时间不应大于5s。</w:t>
      </w:r>
    </w:p>
    <w:p w14:paraId="39AC972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9 非消防电源</w:t>
      </w:r>
    </w:p>
    <w:p w14:paraId="4A31EDF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1）火灾确认后通过控制模块切断相关区域非消防电源。</w:t>
      </w:r>
    </w:p>
    <w:p w14:paraId="2F89C3A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2）其它一些非重要的用电回路电源直接于变电所切断，并向消防控制室反馈信号。</w:t>
      </w:r>
    </w:p>
    <w:p w14:paraId="7EFD9AD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10 自动跟踪定位射流灭火系统（无）</w:t>
      </w:r>
    </w:p>
    <w:p w14:paraId="1B6226F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1）系统具有自动控制、消防控制室手动控制和现场手动控制三种控制方式。消防控制室手动控制和现场手动控制相对于自动控制应具有优先权。</w:t>
      </w:r>
    </w:p>
    <w:p w14:paraId="59B9975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系统在自动控制状态下，控制主机在接到火警信号，确认火灾发生后，能自动启动消防水泵、打开自动控制阀、启动系统射流灭火，并同时启动声、光警报器和其他联动设备。系统在手动控制状态下，能够人工确认火灾后手动启动系统射流灭火。</w:t>
      </w:r>
    </w:p>
    <w:p w14:paraId="748B2D2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5.4.5 安全技术防范系统：火灾确认后，</w:t>
      </w:r>
      <w:r>
        <w:rPr>
          <w:rFonts w:hint="eastAsia" w:ascii="宋体" w:hAnsi="宋体" w:eastAsia="宋体" w:cs="宋体"/>
          <w:color w:val="0D0D0D" w:themeColor="text1" w:themeTint="F2"/>
          <w:spacing w:val="-6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自动打开疏散通道上由门禁系统控制</w:t>
      </w:r>
      <w:r>
        <w:rPr>
          <w:rFonts w:hint="eastAsia" w:ascii="宋体" w:hAnsi="宋体" w:eastAsia="宋体" w:cs="宋体"/>
          <w:color w:val="0D0D0D" w:themeColor="text1" w:themeTint="F2"/>
          <w:spacing w:val="2"/>
          <w:sz w:val="24"/>
          <w:szCs w:val="24"/>
          <w:lang w:val="en-US" w:eastAsia="zh-CN"/>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门、</w:t>
      </w:r>
      <w:r>
        <w:rPr>
          <w:rFonts w:hint="eastAsia" w:ascii="宋体" w:hAnsi="宋体" w:eastAsia="宋体" w:cs="宋体"/>
          <w:color w:val="0D0D0D" w:themeColor="text1" w:themeTint="F2"/>
          <w:spacing w:val="-7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自动打开收费汽车库的电动栅杆;火灾报警后开启相关层安</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全技术防范系统的摄像机监视火灾现场。</w:t>
      </w:r>
    </w:p>
    <w:p w14:paraId="519C172E">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5.4.6 消防专用电话</w:t>
      </w:r>
    </w:p>
    <w:p w14:paraId="668400BF">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消防专用电话网络为独立的消防通信系统。消防控制室设置消防专用电话总机。多线制消防专用电话系统中的每个电话分机与总机单独连接。</w:t>
      </w:r>
    </w:p>
    <w:p w14:paraId="3767539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除在手动报警按钮上设置消防专用电话插孔外，在消防水泵房、发电机房、配变电室、计算机网络机房、主要通风和空调机房、防排烟机房、灭火控制系统操作装置处或控制室、企业消防站、消防值班室、消防电梯机房及其他与消防联动控制有关的且经常有人值班的机房均设置消防专用电话分机。</w:t>
      </w:r>
    </w:p>
    <w:p w14:paraId="20F1FFC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消防控制室、消防值班室或企业消防站等处，设置可直接报警的“ 119 ”专用外线电话。</w:t>
      </w:r>
    </w:p>
    <w:p w14:paraId="21B61CF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5.4.7 火灾自动报警报警系统的供电及接地</w:t>
      </w:r>
    </w:p>
    <w:p w14:paraId="5CBD51C2">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电源：系统电源引自电气专业配置的消防专用电源。并在消防控制室设置消防专用的 UPS 不间断电源。正常状态 UPS 由消防专用双电源自动切换箱供电；电源故障时, 由 UPS 电源供电，保证机房内系统的正常工作。</w:t>
      </w:r>
    </w:p>
    <w:p w14:paraId="721E65E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消防设备应急电源输出功率应大于火灾自动报警及联动控制系统全负荷功率的 120%，蓄电池组的容量保证火灾自动报警及联动控制系统在火灾状态同时工作负荷条件下连续工作 3h 以上。消防配电设备设有明显标志。</w:t>
      </w:r>
    </w:p>
    <w:p w14:paraId="7B01AE3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火灾自动报警系统接地装置采用共用接地装置，接地电阻值不大于 1Ω。</w:t>
      </w:r>
    </w:p>
    <w:p w14:paraId="52D5A87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 消防控制室内的电气和电子设备的金属外壳、机柜、机架、金属管、槽等采用等电位连接。</w:t>
      </w:r>
    </w:p>
    <w:p w14:paraId="20B72E1F">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 由消防控制室接地板引至各消防电子设备的专用接地线选用铜芯绝缘导线，其线芯截面面积不小于 4mm2 。消防控制室接地板与建筑接地体之间采用线芯截面面积不小于 25 mm2 的铜芯绝缘导线连接。</w:t>
      </w:r>
    </w:p>
    <w:p w14:paraId="06EAF454">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p>
    <w:p w14:paraId="73569BB9">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5.5 消防应急广播与火灾警报装置</w:t>
      </w:r>
    </w:p>
    <w:p w14:paraId="67BF8143">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5.5.1 消防应急广播按照疏散楼层或报</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警区域划分分路配线，各输岀分路设有</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输出显示信号和保护、控制装置，当任一分路有故障时，不影响其他分路</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的正</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常广播；在走道和大厅等公共场所、电梯前室、疏散楼梯间内设置应急广</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播扬</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声器。每个扬声器的额定功率不小于</w:t>
      </w:r>
      <w:r>
        <w:rPr>
          <w:rFonts w:hint="eastAsia" w:ascii="宋体" w:hAnsi="宋体" w:eastAsia="宋体" w:cs="宋体"/>
          <w:color w:val="0D0D0D" w:themeColor="text1" w:themeTint="F2"/>
          <w:spacing w:val="-4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3W，其数量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能保证从一个防火分区内的任</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何部位到最近一个扬声器的直线距离不大于</w:t>
      </w:r>
      <w:r>
        <w:rPr>
          <w:rFonts w:hint="eastAsia" w:ascii="宋体" w:hAnsi="宋体" w:eastAsia="宋体" w:cs="宋体"/>
          <w:color w:val="0D0D0D" w:themeColor="text1" w:themeTint="F2"/>
          <w:spacing w:val="-4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25m，走道末端距最近的扬声器距</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离不大于</w:t>
      </w:r>
      <w:r>
        <w:rPr>
          <w:rFonts w:hint="eastAsia" w:ascii="宋体" w:hAnsi="宋体" w:eastAsia="宋体" w:cs="宋体"/>
          <w:color w:val="0D0D0D" w:themeColor="text1" w:themeTint="F2"/>
          <w:spacing w:val="-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12.5m。在环境噪声大于</w:t>
      </w:r>
      <w:r>
        <w:rPr>
          <w:rFonts w:hint="eastAsia" w:ascii="宋体" w:hAnsi="宋体" w:eastAsia="宋体" w:cs="宋体"/>
          <w:color w:val="0D0D0D" w:themeColor="text1" w:themeTint="F2"/>
          <w:spacing w:val="-4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60dB 的场所设置的扬声器，在其播放范围内</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最远点的播放声压级高于背景噪声</w:t>
      </w:r>
      <w:r>
        <w:rPr>
          <w:rFonts w:hint="eastAsia" w:ascii="宋体" w:hAnsi="宋体" w:eastAsia="宋体" w:cs="宋体"/>
          <w:color w:val="0D0D0D" w:themeColor="text1" w:themeTint="F2"/>
          <w:spacing w:val="-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15dB</w:t>
      </w:r>
      <w:r>
        <w:rPr>
          <w:rFonts w:hint="eastAsia" w:ascii="宋体" w:hAnsi="宋体" w:eastAsia="宋体" w:cs="宋体"/>
          <w:color w:val="0D0D0D" w:themeColor="text1" w:themeTint="F2"/>
          <w:spacing w:val="-2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以上。</w:t>
      </w:r>
    </w:p>
    <w:p w14:paraId="0911E4DC">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5.5.2 每个报警区域内均匀设置火灾警报器，其声压级不小于</w:t>
      </w:r>
      <w:r>
        <w:rPr>
          <w:rFonts w:hint="eastAsia" w:ascii="宋体" w:hAnsi="宋体" w:eastAsia="宋体" w:cs="宋体"/>
          <w:color w:val="0D0D0D" w:themeColor="text1" w:themeTint="F2"/>
          <w:spacing w:val="-2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60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dB</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；在环境噪</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声大于</w:t>
      </w:r>
      <w:r>
        <w:rPr>
          <w:rFonts w:hint="eastAsia" w:ascii="宋体" w:hAnsi="宋体" w:eastAsia="宋体" w:cs="宋体"/>
          <w:color w:val="0D0D0D" w:themeColor="text1" w:themeTint="F2"/>
          <w:spacing w:val="-4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60dB</w:t>
      </w:r>
      <w:r>
        <w:rPr>
          <w:rFonts w:hint="eastAsia" w:ascii="宋体" w:hAnsi="宋体" w:eastAsia="宋体" w:cs="宋体"/>
          <w:color w:val="0D0D0D" w:themeColor="text1" w:themeTint="F2"/>
          <w:spacing w:val="-3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的场所，其声压级高于背景躁声</w:t>
      </w:r>
      <w:r>
        <w:rPr>
          <w:rFonts w:hint="eastAsia" w:ascii="宋体" w:hAnsi="宋体" w:eastAsia="宋体" w:cs="宋体"/>
          <w:color w:val="0D0D0D" w:themeColor="text1" w:themeTint="F2"/>
          <w:spacing w:val="-3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15dB。</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5.5.3 消防应急广播系统</w:t>
      </w:r>
      <w:r>
        <w:rPr>
          <w:rFonts w:hint="eastAsia" w:ascii="宋体" w:hAnsi="宋体" w:eastAsia="宋体" w:cs="宋体"/>
          <w:color w:val="0D0D0D" w:themeColor="text1" w:themeTint="F2"/>
          <w:spacing w:val="4"/>
          <w:sz w:val="24"/>
          <w:szCs w:val="24"/>
          <w:lang w:val="en-US" w:eastAsia="zh-CN"/>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联动控制信</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号由消防联动控制器发出。当确认火灾</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后，同时向全楼进行广播。</w:t>
      </w:r>
      <w:r>
        <w:rPr>
          <w:rFonts w:hint="eastAsia" w:ascii="宋体" w:hAnsi="宋体" w:eastAsia="宋体" w:cs="宋体"/>
          <w:color w:val="0D0D0D" w:themeColor="text1" w:themeTint="F2"/>
          <w:spacing w:val="4"/>
          <w:sz w:val="24"/>
          <w:szCs w:val="24"/>
          <w:lang w:val="en-US" w:eastAsia="zh-CN"/>
          <w14:textFill>
            <w14:solidFill>
              <w14:schemeClr w14:val="tx1">
                <w14:lumMod w14:val="95000"/>
                <w14:lumOff w14:val="5000"/>
              </w14:schemeClr>
            </w14:solidFill>
          </w14:textFill>
        </w:rPr>
        <w:t>消</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防应急广播的单次语音播放时间为</w:t>
      </w:r>
      <w:r>
        <w:rPr>
          <w:rFonts w:hint="eastAsia" w:ascii="宋体" w:hAnsi="宋体" w:eastAsia="宋体" w:cs="宋体"/>
          <w:color w:val="0D0D0D" w:themeColor="text1" w:themeTint="F2"/>
          <w:spacing w:val="-1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10s~30s，与</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火灾声警报器分时交替工作，采取</w:t>
      </w:r>
      <w:r>
        <w:rPr>
          <w:rFonts w:hint="eastAsia" w:ascii="宋体" w:hAnsi="宋体" w:eastAsia="宋体" w:cs="宋体"/>
          <w:color w:val="0D0D0D" w:themeColor="text1" w:themeTint="F2"/>
          <w:spacing w:val="-18"/>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4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次火灾声警报器播放、1</w:t>
      </w:r>
      <w:r>
        <w:rPr>
          <w:rFonts w:hint="eastAsia" w:ascii="宋体" w:hAnsi="宋体" w:eastAsia="宋体" w:cs="宋体"/>
          <w:color w:val="0D0D0D" w:themeColor="text1" w:themeTint="F2"/>
          <w:spacing w:val="-3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次或</w:t>
      </w:r>
      <w:r>
        <w:rPr>
          <w:rFonts w:hint="eastAsia" w:ascii="宋体" w:hAnsi="宋体" w:eastAsia="宋体" w:cs="宋体"/>
          <w:color w:val="0D0D0D" w:themeColor="text1" w:themeTint="F2"/>
          <w:spacing w:val="-43"/>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3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次消防应</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急广播播放的交替工作方式循环播放。在消防控制室能手动或按预设控</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制逻辑</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联动控制选择广播分区、启动或停止应急广播系统，并能监听消防应急</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广播。</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在通过传声器进行应急广播时，自动对广播内容进行录音。并能显示消防应急、</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广播的广播分区的工作状态。</w:t>
      </w:r>
    </w:p>
    <w:p w14:paraId="6ECA3F6C">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5.5.4 系统设置火灾声光警报器，并在</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确认火灾后启动建筑内的所有火灾声光</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警报器。并能同时启动和停止所有火灾声警报器工作。火灾声警报器单</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次发出</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火灾警报时间为</w:t>
      </w:r>
      <w:r>
        <w:rPr>
          <w:rFonts w:hint="eastAsia" w:ascii="宋体" w:hAnsi="宋体" w:eastAsia="宋体" w:cs="宋体"/>
          <w:color w:val="0D0D0D" w:themeColor="text1" w:themeTint="F2"/>
          <w:spacing w:val="-44"/>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8s~20s，并与消防应急广播交替循环播放。</w:t>
      </w:r>
    </w:p>
    <w:p w14:paraId="5F4B3E71">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5.5.5 消防应急广播与普通广播或背景</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音乐广播合用时，具有强制切入消防应</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急广播的功能。</w:t>
      </w:r>
    </w:p>
    <w:p w14:paraId="5BE02EE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p>
    <w:p w14:paraId="5EB2C7D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5.6 可燃气体报警系统（无）</w:t>
      </w:r>
    </w:p>
    <w:p w14:paraId="76AE299E">
      <w:pPr>
        <w:keepNext w:val="0"/>
        <w:keepLines/>
        <w:pageBreakBefore w:val="0"/>
        <w:wordWrap/>
        <w:topLinePunct w:val="0"/>
        <w:bidi w:val="0"/>
        <w:spacing w:line="288" w:lineRule="auto"/>
        <w:ind w:left="0" w:leftChars="0" w:right="0" w:rightChars="0" w:firstLine="476"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新增本系统，系统主机设置于消防控制室内。</w:t>
      </w:r>
    </w:p>
    <w:p w14:paraId="2C611D8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5.6.1 本工程在</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（通燃气场所或部位）</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设有独立组成的可燃气体探测报警系统，</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可燃气体报警控制器设置在保护区域附近的安全区内。</w:t>
      </w:r>
    </w:p>
    <w:p w14:paraId="5C5CD49B">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5.6.2 可燃气体探测报警系统独立组成，可燃气体探测器不接入火灾报警控制</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器的探测器回路。可燃气体探测报警系统由可燃气体报警控制器、可燃气体探</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测器和火灾声光警报器等组成。</w:t>
      </w:r>
    </w:p>
    <w:p w14:paraId="796E7B79">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5.6.3 可燃气体报警控制器的报警信息</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和故障信息可在消防控制室图形显示装</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置显示，但该类信息应与火灾报警信息的显示有所区别。</w:t>
      </w:r>
    </w:p>
    <w:p w14:paraId="2CCA6B1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5.6.4 可燃气体报警控制器发出报警信号</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时，启动保护区域的火灾声光报警器。</w:t>
      </w:r>
    </w:p>
    <w:p w14:paraId="46C63EC7">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5.6.5 可燃气体报警控制器应与燃气进</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气阀和事故排风机联动。当可燃气体报</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警控制器动作后关闭燃气进气阀，启动事故排风风机。</w:t>
      </w:r>
    </w:p>
    <w:p w14:paraId="3BF9D86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pPr>
    </w:p>
    <w:p w14:paraId="79038D84">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5.7 消防电气监测与监控系统</w:t>
      </w:r>
    </w:p>
    <w:p w14:paraId="0B51BC7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5.7.1</w:t>
      </w:r>
      <w:r>
        <w:rPr>
          <w:rFonts w:hint="eastAsia" w:ascii="宋体" w:hAnsi="宋体" w:eastAsia="宋体" w:cs="宋体"/>
          <w:color w:val="0D0D0D" w:themeColor="text1" w:themeTint="F2"/>
          <w:spacing w:val="41"/>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电气火灾监控系统</w:t>
      </w:r>
      <w:r>
        <w:rPr>
          <w:rFonts w:hint="eastAsia" w:ascii="宋体" w:hAnsi="宋体" w:eastAsia="宋体" w:cs="宋体"/>
          <w:color w:val="C00000"/>
          <w:spacing w:val="-3"/>
          <w:sz w:val="24"/>
          <w:szCs w:val="24"/>
        </w:rPr>
        <w:t>（原有）</w:t>
      </w:r>
    </w:p>
    <w:p w14:paraId="0CF6C60C">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本次设计新增电箱接入原有电气火灾监控系统。</w:t>
      </w:r>
    </w:p>
    <w:p w14:paraId="29937758">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系统由电气火灾监控器、剩余电流式电气火灾监控探测器、测温式电气火灾监控探测器、故障电弧电气火灾监控探测器、通信网络等设备组成。电气火灾监控系统的控制器安装在建筑物的消防控制室内，由消防控制室统一管理。</w:t>
      </w:r>
    </w:p>
    <w:p w14:paraId="35D5F39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剩余电流式电气火灾监控探测器的设置</w:t>
      </w:r>
    </w:p>
    <w:p w14:paraId="4244315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1）计算电流 300A 及以下时，在变电所低压配电室或总配电室集中测量；</w:t>
      </w:r>
    </w:p>
    <w:p w14:paraId="00E0CFC7">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300A 以上时，在楼层配电箱进线开关下端口测量，当配电回路为封闭母线槽或预制分支电缆时，在分支线路总开关下端口测量。</w:t>
      </w:r>
    </w:p>
    <w:p w14:paraId="34AAAE5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2）现场信息采集装置具有检测配电线路的剩余电流和温度，其整定值能躲</w:t>
      </w:r>
      <w:r>
        <w:rPr>
          <w:rFonts w:hint="eastAsia" w:ascii="宋体" w:hAnsi="宋体" w:eastAsia="宋体" w:cs="宋体"/>
          <w:color w:val="0D0D0D" w:themeColor="text1" w:themeTint="F2"/>
          <w:spacing w:val="3"/>
          <w:sz w:val="24"/>
          <w:szCs w:val="24"/>
          <w:lang w:val="en-US" w:eastAsia="zh-CN"/>
          <w14:textFill>
            <w14:solidFill>
              <w14:schemeClr w14:val="tx1">
                <w14:lumMod w14:val="95000"/>
                <w14:lumOff w14:val="5000"/>
              </w14:schemeClr>
            </w14:solidFill>
          </w14:textFill>
        </w:rPr>
        <w:t>开</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正常泄露电流，探测器整定值为 300mA，当超过限定值时报警。</w:t>
      </w:r>
    </w:p>
    <w:p w14:paraId="27EA4655">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测温式电气火灾监控探测器设置能够覆盖电缆沟、电缆桥架和线槽、及部分供配电设备的配电装置内部。</w:t>
      </w:r>
    </w:p>
    <w:p w14:paraId="110C28F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 档口式家电商场、批发市场等场所的末端配电箱设置电弧故障火灾探测器或限流式电气防火保护器；储备仓库、电动车充电等场所的末端回路设置限流式电气防火保护器。</w:t>
      </w:r>
    </w:p>
    <w:p w14:paraId="3865508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5 高度大于 12m 的空间场所照明线路上设置具有探测故障电弧功能的电气火灾监控探测器。</w:t>
      </w:r>
    </w:p>
    <w:p w14:paraId="1610A2D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bookmarkStart w:id="2" w:name="OLE_LINK10"/>
      <w:bookmarkStart w:id="3" w:name="OLE_LINK9"/>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6 系统总线采用级连方式配线，总线采用金属管(SC25)敷设于非燃烧体内，非燃烧体对管线的覆盖层不小于 30mm。</w:t>
      </w:r>
    </w:p>
    <w:bookmarkEnd w:id="2"/>
    <w:bookmarkEnd w:id="3"/>
    <w:p w14:paraId="6A0738F8">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pacing w:val="-1"/>
          <w:sz w:val="24"/>
          <w:szCs w:val="24"/>
        </w:rPr>
      </w:pPr>
      <w:r>
        <w:rPr>
          <w:rFonts w:hint="eastAsia" w:ascii="宋体" w:hAnsi="宋体" w:eastAsia="宋体" w:cs="宋体"/>
          <w:color w:val="C00000"/>
          <w:spacing w:val="-1"/>
          <w:sz w:val="24"/>
          <w:szCs w:val="24"/>
        </w:rPr>
        <w:t xml:space="preserve">5.7.2 </w:t>
      </w:r>
      <w:bookmarkStart w:id="4" w:name="OLE_LINK5"/>
      <w:bookmarkStart w:id="5" w:name="OLE_LINK6"/>
      <w:r>
        <w:rPr>
          <w:rFonts w:hint="eastAsia" w:ascii="宋体" w:hAnsi="宋体" w:eastAsia="宋体" w:cs="宋体"/>
          <w:color w:val="C00000"/>
          <w:spacing w:val="-1"/>
          <w:sz w:val="24"/>
          <w:szCs w:val="24"/>
        </w:rPr>
        <w:t>消防电源监控系统</w:t>
      </w:r>
      <w:bookmarkEnd w:id="4"/>
      <w:bookmarkEnd w:id="5"/>
      <w:r>
        <w:rPr>
          <w:rFonts w:hint="eastAsia" w:ascii="宋体" w:hAnsi="宋体" w:eastAsia="宋体" w:cs="宋体"/>
          <w:color w:val="C00000"/>
          <w:spacing w:val="-1"/>
          <w:sz w:val="24"/>
          <w:szCs w:val="24"/>
        </w:rPr>
        <w:t>（新增）</w:t>
      </w:r>
    </w:p>
    <w:p w14:paraId="2D68EAE0">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C00000"/>
          <w:spacing w:val="3"/>
          <w:sz w:val="24"/>
          <w:szCs w:val="24"/>
        </w:rPr>
      </w:pPr>
      <w:bookmarkStart w:id="6" w:name="OLE_LINK14"/>
      <w:bookmarkStart w:id="7" w:name="OLE_LINK13"/>
      <w:r>
        <w:rPr>
          <w:rFonts w:hint="eastAsia" w:ascii="宋体" w:hAnsi="宋体" w:eastAsia="宋体" w:cs="宋体"/>
          <w:color w:val="C00000"/>
          <w:spacing w:val="3"/>
          <w:sz w:val="24"/>
          <w:szCs w:val="24"/>
        </w:rPr>
        <w:t>原设计无消防电源监控系统，本次改造设计新增一台排烟风机控制箱并重新设计了消防电源监控系统。</w:t>
      </w:r>
    </w:p>
    <w:bookmarkEnd w:id="6"/>
    <w:bookmarkEnd w:id="7"/>
    <w:p w14:paraId="3EBECB63">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系统由消防电源状态监控器、监控主机、电压/电流传感器、通信网络等组成。监控器主机能接收并显示其监控的所有消防设备的主电源和备用电源的实时工作状态信息；当消防设备电源发生过压、欠压、过流、缺相等故障时，消防设备电源监控器能够发出故障、光信号，显示并记录故障的部位、类型和时间。</w:t>
      </w:r>
    </w:p>
    <w:p w14:paraId="562DA5EB">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消防电源监控模块设置在各区域的所有消防末端配电（控制）箱内，双电源切换装置的电源进线侧和出线侧，蓄电池应急电源系统的电源进线侧和出线侧。监控模块之间采用 RS485 专用通讯总线网络连接。</w:t>
      </w:r>
    </w:p>
    <w:p w14:paraId="6F3DC46D">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本系统总线采用级连方式配线，总线采用金属管（SC20）敷设于非燃烧体内，非燃烧体对管线的覆盖层应不小于30mm。</w:t>
      </w:r>
    </w:p>
    <w:p w14:paraId="1C09E5A1">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 消防电源监控系统主机安装在消防控制室内。</w:t>
      </w:r>
    </w:p>
    <w:p w14:paraId="08B60575">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C00000"/>
          <w:spacing w:val="-1"/>
          <w:sz w:val="24"/>
          <w:szCs w:val="24"/>
        </w:rPr>
      </w:pPr>
      <w:r>
        <w:rPr>
          <w:rFonts w:hint="eastAsia" w:ascii="宋体" w:hAnsi="宋体" w:eastAsia="宋体" w:cs="宋体"/>
          <w:color w:val="C00000"/>
          <w:spacing w:val="-1"/>
          <w:sz w:val="24"/>
          <w:szCs w:val="24"/>
        </w:rPr>
        <w:t>5.7.3 防火门监控系统（新增）</w:t>
      </w:r>
    </w:p>
    <w:p w14:paraId="6DD61209">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C00000"/>
          <w:spacing w:val="3"/>
          <w:sz w:val="24"/>
          <w:szCs w:val="24"/>
        </w:rPr>
      </w:pPr>
      <w:r>
        <w:rPr>
          <w:rFonts w:hint="eastAsia" w:ascii="宋体" w:hAnsi="宋体" w:eastAsia="宋体" w:cs="宋体"/>
          <w:color w:val="C00000"/>
          <w:spacing w:val="3"/>
          <w:sz w:val="24"/>
          <w:szCs w:val="24"/>
        </w:rPr>
        <w:t>原设计无防火门监控系统，本次改造设计新增两扇防火门并重新设计了防火门监控系统。</w:t>
      </w:r>
    </w:p>
    <w:p w14:paraId="0C2F3494">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1 系统由防火门监控器、监控分机、监控模块、电动闭门器等设备组成。在消防疏散通道上的防火门及用作防火分区分隔的防火门设有防火门监控。防火门监控模块设置在防火门处，负责监视或控制相应防火门的开启及故障状态，监控模块之间采用无极性二总线网络连接。</w:t>
      </w:r>
    </w:p>
    <w:p w14:paraId="507300BA">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2 由常开防火门所在防火分区内的两只独立的火灾探测器或一只火灾探测器与一只手动火灾报警按钮的报警信号，作为常开防火门关闭的联动触发信号，联动触发信号应由火灾报警控制器或消防联动控制器发出，并由防火门监控器联动控制防火门关闭。</w:t>
      </w:r>
    </w:p>
    <w:p w14:paraId="69D83C5E">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3 防火门监控系统主机安装在消防控制室，监控器主机能接收并显示其监控的所有防火门的开启、关闭及故障状态。</w:t>
      </w:r>
    </w:p>
    <w:p w14:paraId="18557B76">
      <w:pPr>
        <w:keepNext w:val="0"/>
        <w:keepLines/>
        <w:pageBreakBefore w:val="0"/>
        <w:wordWrap/>
        <w:topLinePunct w:val="0"/>
        <w:bidi w:val="0"/>
        <w:spacing w:line="288" w:lineRule="auto"/>
        <w:ind w:right="0" w:rightChars="0" w:firstLine="492" w:firstLineChars="20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4 系统总线采用级连方式配线，总线采用金属管（SC15）敷设于非燃烧体内，非燃烧体对管线的覆盖层不小于30mm。</w:t>
      </w:r>
    </w:p>
    <w:p w14:paraId="4FAA3570">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2"/>
          <w:sz w:val="24"/>
          <w:szCs w:val="24"/>
          <w:highlight w:val="none"/>
          <w14:textFill>
            <w14:solidFill>
              <w14:schemeClr w14:val="tx1">
                <w14:lumMod w14:val="95000"/>
                <w14:lumOff w14:val="5000"/>
              </w14:schemeClr>
            </w14:solidFill>
          </w14:textFill>
        </w:rPr>
      </w:pPr>
    </w:p>
    <w:p w14:paraId="6B23D4B9">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highlight w:val="none"/>
          <w14:textFill>
            <w14:solidFill>
              <w14:schemeClr w14:val="tx1">
                <w14:lumMod w14:val="95000"/>
                <w14:lumOff w14:val="5000"/>
              </w14:schemeClr>
            </w14:solidFill>
          </w14:textFill>
        </w:rPr>
        <w:t>5.8 线缆选择及敷设要求</w:t>
      </w:r>
    </w:p>
    <w:p w14:paraId="6F3606D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highlight w:val="none"/>
          <w14:textFill>
            <w14:solidFill>
              <w14:schemeClr w14:val="tx1">
                <w14:lumMod w14:val="95000"/>
                <w14:lumOff w14:val="5000"/>
              </w14:schemeClr>
            </w14:solidFill>
          </w14:textFill>
        </w:rPr>
        <w:t>5.8.1 线缆改造概况见表</w:t>
      </w:r>
      <w:r>
        <w:rPr>
          <w:rFonts w:hint="eastAsia" w:ascii="宋体" w:hAnsi="宋体" w:eastAsia="宋体" w:cs="宋体"/>
          <w:color w:val="0D0D0D" w:themeColor="text1" w:themeTint="F2"/>
          <w:spacing w:val="-36"/>
          <w:sz w:val="24"/>
          <w:szCs w:val="24"/>
          <w:highlight w:val="non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highlight w:val="none"/>
          <w14:textFill>
            <w14:solidFill>
              <w14:schemeClr w14:val="tx1">
                <w14:lumMod w14:val="95000"/>
                <w14:lumOff w14:val="5000"/>
              </w14:schemeClr>
            </w14:solidFill>
          </w14:textFill>
        </w:rPr>
        <w:t>5.8.1。</w:t>
      </w:r>
    </w:p>
    <w:p w14:paraId="7104AD9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C00000"/>
          <w:sz w:val="24"/>
          <w:szCs w:val="24"/>
        </w:rPr>
      </w:pPr>
      <w:r>
        <w:rPr>
          <w:rFonts w:hint="eastAsia" w:ascii="宋体" w:hAnsi="宋体" w:eastAsia="宋体" w:cs="宋体"/>
          <w:color w:val="C00000"/>
          <w:spacing w:val="5"/>
          <w:sz w:val="21"/>
          <w:szCs w:val="21"/>
        </w:rPr>
        <w:t>表</w:t>
      </w:r>
      <w:r>
        <w:rPr>
          <w:rFonts w:hint="eastAsia" w:ascii="宋体" w:hAnsi="宋体" w:eastAsia="宋体" w:cs="宋体"/>
          <w:color w:val="C00000"/>
          <w:spacing w:val="-26"/>
          <w:sz w:val="21"/>
          <w:szCs w:val="21"/>
        </w:rPr>
        <w:t xml:space="preserve"> </w:t>
      </w:r>
      <w:r>
        <w:rPr>
          <w:rFonts w:hint="eastAsia" w:ascii="宋体" w:hAnsi="宋体" w:eastAsia="宋体" w:cs="宋体"/>
          <w:color w:val="C00000"/>
          <w:spacing w:val="5"/>
          <w:sz w:val="21"/>
          <w:szCs w:val="21"/>
        </w:rPr>
        <w:t>5.8.1 线缆改造概况</w:t>
      </w:r>
    </w:p>
    <w:tbl>
      <w:tblPr>
        <w:tblStyle w:val="15"/>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2"/>
        <w:gridCol w:w="2273"/>
        <w:gridCol w:w="2400"/>
        <w:gridCol w:w="2698"/>
      </w:tblGrid>
      <w:tr w14:paraId="5FF7F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3425" w:type="dxa"/>
            <w:gridSpan w:val="2"/>
            <w:vAlign w:val="center"/>
          </w:tcPr>
          <w:p w14:paraId="54132C6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6"/>
                <w:sz w:val="21"/>
                <w:szCs w:val="21"/>
              </w:rPr>
              <w:t>线缆分类</w:t>
            </w:r>
          </w:p>
        </w:tc>
        <w:tc>
          <w:tcPr>
            <w:tcW w:w="2400" w:type="dxa"/>
            <w:vAlign w:val="center"/>
          </w:tcPr>
          <w:p w14:paraId="231FB73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4"/>
                <w:sz w:val="21"/>
                <w:szCs w:val="21"/>
              </w:rPr>
              <w:t>改造前</w:t>
            </w:r>
          </w:p>
        </w:tc>
        <w:tc>
          <w:tcPr>
            <w:tcW w:w="2698" w:type="dxa"/>
            <w:vAlign w:val="center"/>
          </w:tcPr>
          <w:p w14:paraId="7E679CD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4"/>
                <w:sz w:val="21"/>
                <w:szCs w:val="21"/>
              </w:rPr>
              <w:t>改造后</w:t>
            </w:r>
          </w:p>
        </w:tc>
      </w:tr>
      <w:tr w14:paraId="178A7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3425" w:type="dxa"/>
            <w:gridSpan w:val="2"/>
            <w:vAlign w:val="center"/>
          </w:tcPr>
          <w:p w14:paraId="45DE04A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2"/>
                <w:sz w:val="21"/>
                <w:szCs w:val="21"/>
              </w:rPr>
              <w:t>中压电缆</w:t>
            </w:r>
          </w:p>
        </w:tc>
        <w:tc>
          <w:tcPr>
            <w:tcW w:w="2400" w:type="dxa"/>
          </w:tcPr>
          <w:p w14:paraId="28E3AF0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t>
            </w:r>
          </w:p>
        </w:tc>
        <w:tc>
          <w:tcPr>
            <w:tcW w:w="2698" w:type="dxa"/>
          </w:tcPr>
          <w:p w14:paraId="2DF1DCC1">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t>
            </w:r>
          </w:p>
        </w:tc>
      </w:tr>
      <w:tr w14:paraId="55A95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152" w:type="dxa"/>
            <w:vMerge w:val="restart"/>
            <w:tcBorders>
              <w:bottom w:val="nil"/>
            </w:tcBorders>
            <w:vAlign w:val="center"/>
          </w:tcPr>
          <w:p w14:paraId="54D17C2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6"/>
                <w:sz w:val="21"/>
                <w:szCs w:val="21"/>
              </w:rPr>
              <w:t>消防线路</w:t>
            </w:r>
          </w:p>
        </w:tc>
        <w:tc>
          <w:tcPr>
            <w:tcW w:w="2273" w:type="dxa"/>
            <w:vAlign w:val="center"/>
          </w:tcPr>
          <w:p w14:paraId="5530DCB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供电主干电缆</w:t>
            </w:r>
          </w:p>
        </w:tc>
        <w:tc>
          <w:tcPr>
            <w:tcW w:w="2400" w:type="dxa"/>
          </w:tcPr>
          <w:p w14:paraId="28975FE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pacing w:val="14"/>
                <w:w w:val="95"/>
                <w:sz w:val="21"/>
                <w:szCs w:val="21"/>
                <w:lang w:eastAsia="zh-CN"/>
              </w:rPr>
              <w:t>WDZN</w:t>
            </w:r>
            <w:r>
              <w:rPr>
                <w:rFonts w:hint="eastAsia" w:ascii="宋体" w:hAnsi="宋体" w:eastAsia="宋体" w:cs="宋体"/>
                <w:color w:val="C00000"/>
                <w:spacing w:val="14"/>
                <w:w w:val="95"/>
                <w:sz w:val="21"/>
                <w:szCs w:val="21"/>
              </w:rPr>
              <w:t>-YJ</w:t>
            </w:r>
            <w:r>
              <w:rPr>
                <w:rFonts w:hint="eastAsia" w:ascii="宋体" w:hAnsi="宋体" w:eastAsia="宋体" w:cs="宋体"/>
                <w:color w:val="C00000"/>
                <w:spacing w:val="14"/>
                <w:w w:val="95"/>
                <w:sz w:val="21"/>
                <w:szCs w:val="21"/>
                <w:lang w:eastAsia="zh-CN"/>
              </w:rPr>
              <w:t>Y</w:t>
            </w:r>
          </w:p>
        </w:tc>
        <w:tc>
          <w:tcPr>
            <w:tcW w:w="2698" w:type="dxa"/>
          </w:tcPr>
          <w:p w14:paraId="4671ED9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pacing w:val="14"/>
                <w:w w:val="95"/>
                <w:sz w:val="21"/>
                <w:szCs w:val="21"/>
                <w:lang w:eastAsia="zh-CN"/>
              </w:rPr>
              <w:t>WDZN</w:t>
            </w:r>
            <w:r>
              <w:rPr>
                <w:rFonts w:hint="eastAsia" w:ascii="宋体" w:hAnsi="宋体" w:eastAsia="宋体" w:cs="宋体"/>
                <w:color w:val="C00000"/>
                <w:spacing w:val="14"/>
                <w:w w:val="95"/>
                <w:sz w:val="21"/>
                <w:szCs w:val="21"/>
              </w:rPr>
              <w:t>-YJ</w:t>
            </w:r>
            <w:r>
              <w:rPr>
                <w:rFonts w:hint="eastAsia" w:ascii="宋体" w:hAnsi="宋体" w:eastAsia="宋体" w:cs="宋体"/>
                <w:color w:val="C00000"/>
                <w:spacing w:val="14"/>
                <w:w w:val="95"/>
                <w:sz w:val="21"/>
                <w:szCs w:val="21"/>
                <w:lang w:eastAsia="zh-CN"/>
              </w:rPr>
              <w:t>Y</w:t>
            </w:r>
          </w:p>
        </w:tc>
      </w:tr>
      <w:tr w14:paraId="7A93F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152" w:type="dxa"/>
            <w:vMerge w:val="continue"/>
            <w:tcBorders>
              <w:top w:val="nil"/>
              <w:bottom w:val="nil"/>
            </w:tcBorders>
            <w:vAlign w:val="center"/>
          </w:tcPr>
          <w:p w14:paraId="08DC73B2">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p>
        </w:tc>
        <w:tc>
          <w:tcPr>
            <w:tcW w:w="2273" w:type="dxa"/>
            <w:vAlign w:val="center"/>
          </w:tcPr>
          <w:p w14:paraId="30C1B89A">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供电分支线缆</w:t>
            </w:r>
          </w:p>
        </w:tc>
        <w:tc>
          <w:tcPr>
            <w:tcW w:w="2400" w:type="dxa"/>
          </w:tcPr>
          <w:p w14:paraId="32A8A90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pacing w:val="14"/>
                <w:w w:val="95"/>
                <w:sz w:val="21"/>
                <w:szCs w:val="21"/>
                <w:lang w:eastAsia="zh-CN"/>
              </w:rPr>
              <w:t>WDZN</w:t>
            </w:r>
            <w:r>
              <w:rPr>
                <w:rFonts w:hint="eastAsia" w:ascii="宋体" w:hAnsi="宋体" w:eastAsia="宋体" w:cs="宋体"/>
                <w:color w:val="C00000"/>
                <w:spacing w:val="14"/>
                <w:w w:val="95"/>
                <w:sz w:val="21"/>
                <w:szCs w:val="21"/>
              </w:rPr>
              <w:t>-YJ</w:t>
            </w:r>
            <w:r>
              <w:rPr>
                <w:rFonts w:hint="eastAsia" w:ascii="宋体" w:hAnsi="宋体" w:eastAsia="宋体" w:cs="宋体"/>
                <w:color w:val="C00000"/>
                <w:spacing w:val="14"/>
                <w:w w:val="95"/>
                <w:sz w:val="21"/>
                <w:szCs w:val="21"/>
                <w:lang w:eastAsia="zh-CN"/>
              </w:rPr>
              <w:t>Y</w:t>
            </w:r>
          </w:p>
        </w:tc>
        <w:tc>
          <w:tcPr>
            <w:tcW w:w="2698" w:type="dxa"/>
          </w:tcPr>
          <w:p w14:paraId="3D35D3F5">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pacing w:val="14"/>
                <w:w w:val="95"/>
                <w:sz w:val="21"/>
                <w:szCs w:val="21"/>
                <w:lang w:eastAsia="zh-CN"/>
              </w:rPr>
              <w:t>WDZN</w:t>
            </w:r>
            <w:r>
              <w:rPr>
                <w:rFonts w:hint="eastAsia" w:ascii="宋体" w:hAnsi="宋体" w:eastAsia="宋体" w:cs="宋体"/>
                <w:color w:val="C00000"/>
                <w:spacing w:val="14"/>
                <w:w w:val="95"/>
                <w:sz w:val="21"/>
                <w:szCs w:val="21"/>
              </w:rPr>
              <w:t>-YJ</w:t>
            </w:r>
            <w:r>
              <w:rPr>
                <w:rFonts w:hint="eastAsia" w:ascii="宋体" w:hAnsi="宋体" w:eastAsia="宋体" w:cs="宋体"/>
                <w:color w:val="C00000"/>
                <w:spacing w:val="14"/>
                <w:w w:val="95"/>
                <w:sz w:val="21"/>
                <w:szCs w:val="21"/>
                <w:lang w:eastAsia="zh-CN"/>
              </w:rPr>
              <w:t>Y</w:t>
            </w:r>
          </w:p>
        </w:tc>
      </w:tr>
      <w:tr w14:paraId="2C6C2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1152" w:type="dxa"/>
            <w:vMerge w:val="continue"/>
            <w:tcBorders>
              <w:top w:val="nil"/>
            </w:tcBorders>
            <w:vAlign w:val="center"/>
          </w:tcPr>
          <w:p w14:paraId="4A96008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p>
        </w:tc>
        <w:tc>
          <w:tcPr>
            <w:tcW w:w="2273" w:type="dxa"/>
            <w:vAlign w:val="center"/>
          </w:tcPr>
          <w:p w14:paraId="5F87627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火灾自动报警系统</w:t>
            </w:r>
          </w:p>
        </w:tc>
        <w:tc>
          <w:tcPr>
            <w:tcW w:w="2400" w:type="dxa"/>
          </w:tcPr>
          <w:p w14:paraId="455D0A48">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WDZN-RYJS</w:t>
            </w:r>
          </w:p>
          <w:p w14:paraId="63F49DF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WDZN-KYJY</w:t>
            </w:r>
          </w:p>
        </w:tc>
        <w:tc>
          <w:tcPr>
            <w:tcW w:w="2698" w:type="dxa"/>
          </w:tcPr>
          <w:p w14:paraId="0492CA2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WDZN-RYJS</w:t>
            </w:r>
          </w:p>
          <w:p w14:paraId="08F9B430">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z w:val="21"/>
                <w:szCs w:val="21"/>
                <w:lang w:eastAsia="zh-CN"/>
              </w:rPr>
              <w:t>WDZN-KYJY</w:t>
            </w:r>
          </w:p>
        </w:tc>
      </w:tr>
      <w:tr w14:paraId="3C028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52" w:type="dxa"/>
            <w:vMerge w:val="restart"/>
            <w:tcBorders>
              <w:bottom w:val="nil"/>
            </w:tcBorders>
            <w:vAlign w:val="center"/>
          </w:tcPr>
          <w:p w14:paraId="437FA18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5"/>
                <w:sz w:val="21"/>
                <w:szCs w:val="21"/>
              </w:rPr>
              <w:t>非消防</w:t>
            </w:r>
          </w:p>
          <w:p w14:paraId="1BB6C21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3"/>
                <w:sz w:val="21"/>
                <w:szCs w:val="21"/>
              </w:rPr>
              <w:t>线路</w:t>
            </w:r>
          </w:p>
        </w:tc>
        <w:tc>
          <w:tcPr>
            <w:tcW w:w="2273" w:type="dxa"/>
            <w:vAlign w:val="center"/>
          </w:tcPr>
          <w:p w14:paraId="6285371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供电主干电缆</w:t>
            </w:r>
          </w:p>
        </w:tc>
        <w:tc>
          <w:tcPr>
            <w:tcW w:w="2400" w:type="dxa"/>
          </w:tcPr>
          <w:p w14:paraId="067FF21F">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WDZ-YJY</w:t>
            </w:r>
          </w:p>
        </w:tc>
        <w:tc>
          <w:tcPr>
            <w:tcW w:w="2698" w:type="dxa"/>
          </w:tcPr>
          <w:p w14:paraId="16209E72">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z w:val="21"/>
                <w:szCs w:val="21"/>
                <w:lang w:eastAsia="zh-CN"/>
              </w:rPr>
              <w:t>WDZ-YJY</w:t>
            </w:r>
          </w:p>
        </w:tc>
      </w:tr>
      <w:tr w14:paraId="396FE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152" w:type="dxa"/>
            <w:vMerge w:val="continue"/>
            <w:tcBorders>
              <w:top w:val="nil"/>
              <w:bottom w:val="nil"/>
            </w:tcBorders>
            <w:vAlign w:val="center"/>
          </w:tcPr>
          <w:p w14:paraId="7198405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p>
        </w:tc>
        <w:tc>
          <w:tcPr>
            <w:tcW w:w="2273" w:type="dxa"/>
            <w:vAlign w:val="center"/>
          </w:tcPr>
          <w:p w14:paraId="11E68F0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供电分支线缆</w:t>
            </w:r>
          </w:p>
        </w:tc>
        <w:tc>
          <w:tcPr>
            <w:tcW w:w="2400" w:type="dxa"/>
          </w:tcPr>
          <w:p w14:paraId="01C3B4F8">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z w:val="21"/>
                <w:szCs w:val="21"/>
                <w:lang w:eastAsia="zh-CN"/>
              </w:rPr>
              <w:t>WDZ-BYJ</w:t>
            </w:r>
          </w:p>
        </w:tc>
        <w:tc>
          <w:tcPr>
            <w:tcW w:w="2698" w:type="dxa"/>
          </w:tcPr>
          <w:p w14:paraId="640110B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rPr>
            </w:pPr>
            <w:r>
              <w:rPr>
                <w:rFonts w:hint="eastAsia" w:ascii="宋体" w:hAnsi="宋体" w:eastAsia="宋体" w:cs="宋体"/>
                <w:color w:val="C00000"/>
                <w:sz w:val="21"/>
                <w:szCs w:val="21"/>
                <w:lang w:eastAsia="zh-CN"/>
              </w:rPr>
              <w:t>WDZ-BYJ</w:t>
            </w:r>
          </w:p>
        </w:tc>
      </w:tr>
      <w:tr w14:paraId="1C035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152" w:type="dxa"/>
            <w:vMerge w:val="continue"/>
            <w:tcBorders>
              <w:top w:val="nil"/>
            </w:tcBorders>
            <w:vAlign w:val="center"/>
          </w:tcPr>
          <w:p w14:paraId="166639E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p>
        </w:tc>
        <w:tc>
          <w:tcPr>
            <w:tcW w:w="2273" w:type="dxa"/>
            <w:vAlign w:val="center"/>
          </w:tcPr>
          <w:p w14:paraId="4D814D3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C00000"/>
                <w:sz w:val="21"/>
                <w:szCs w:val="21"/>
              </w:rPr>
            </w:pPr>
            <w:r>
              <w:rPr>
                <w:rFonts w:hint="eastAsia" w:ascii="宋体" w:hAnsi="宋体" w:eastAsia="宋体" w:cs="宋体"/>
                <w:color w:val="C00000"/>
                <w:spacing w:val="8"/>
                <w:sz w:val="21"/>
                <w:szCs w:val="21"/>
              </w:rPr>
              <w:t>非消防弱电线路</w:t>
            </w:r>
          </w:p>
        </w:tc>
        <w:tc>
          <w:tcPr>
            <w:tcW w:w="2400" w:type="dxa"/>
          </w:tcPr>
          <w:p w14:paraId="63AE9B0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t>
            </w:r>
          </w:p>
        </w:tc>
        <w:tc>
          <w:tcPr>
            <w:tcW w:w="2698" w:type="dxa"/>
          </w:tcPr>
          <w:p w14:paraId="2ADBFC6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C00000"/>
                <w:sz w:val="21"/>
                <w:szCs w:val="21"/>
                <w:lang w:eastAsia="zh-CN"/>
              </w:rPr>
            </w:pPr>
            <w:r>
              <w:rPr>
                <w:rFonts w:hint="eastAsia" w:ascii="宋体" w:hAnsi="宋体" w:eastAsia="宋体" w:cs="宋体"/>
                <w:color w:val="C00000"/>
                <w:sz w:val="21"/>
                <w:szCs w:val="21"/>
                <w:lang w:eastAsia="zh-CN"/>
              </w:rPr>
              <w:t>/</w:t>
            </w:r>
          </w:p>
        </w:tc>
      </w:tr>
    </w:tbl>
    <w:p w14:paraId="657049BC">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5.8.2 更新线缆选型要求见表</w:t>
      </w:r>
      <w:r>
        <w:rPr>
          <w:rFonts w:hint="eastAsia" w:ascii="宋体" w:hAnsi="宋体" w:eastAsia="宋体" w:cs="宋体"/>
          <w:color w:val="0D0D0D" w:themeColor="text1" w:themeTint="F2"/>
          <w:spacing w:val="-3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5.8.2。</w:t>
      </w:r>
    </w:p>
    <w:p w14:paraId="6D13826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auto"/>
          <w:spacing w:val="5"/>
          <w:sz w:val="21"/>
          <w:szCs w:val="21"/>
        </w:rPr>
      </w:pPr>
      <w:r>
        <w:rPr>
          <w:rFonts w:hint="eastAsia" w:ascii="宋体" w:hAnsi="宋体" w:eastAsia="宋体" w:cs="宋体"/>
          <w:color w:val="auto"/>
          <w:spacing w:val="5"/>
          <w:sz w:val="21"/>
          <w:szCs w:val="21"/>
        </w:rPr>
        <w:t>表 5.8.2 用电设备线路选型</w:t>
      </w:r>
    </w:p>
    <w:tbl>
      <w:tblPr>
        <w:tblStyle w:val="15"/>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863"/>
        <w:gridCol w:w="1308"/>
        <w:gridCol w:w="1561"/>
        <w:gridCol w:w="743"/>
        <w:gridCol w:w="1305"/>
        <w:gridCol w:w="632"/>
        <w:gridCol w:w="650"/>
      </w:tblGrid>
      <w:tr w14:paraId="217BD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324" w:type="dxa"/>
            <w:gridSpan w:val="2"/>
            <w:vMerge w:val="restart"/>
            <w:tcBorders>
              <w:bottom w:val="nil"/>
            </w:tcBorders>
            <w:vAlign w:val="center"/>
          </w:tcPr>
          <w:p w14:paraId="637D7E5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308" w:type="dxa"/>
            <w:vMerge w:val="restart"/>
            <w:tcBorders>
              <w:bottom w:val="nil"/>
            </w:tcBorders>
            <w:vAlign w:val="center"/>
          </w:tcPr>
          <w:p w14:paraId="05AC3B8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线缆型号</w:t>
            </w:r>
          </w:p>
        </w:tc>
        <w:tc>
          <w:tcPr>
            <w:tcW w:w="4891" w:type="dxa"/>
            <w:gridSpan w:val="5"/>
            <w:vAlign w:val="center"/>
          </w:tcPr>
          <w:p w14:paraId="2D794E6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18"/>
                <w:szCs w:val="18"/>
                <w14:textFill>
                  <w14:solidFill>
                    <w14:schemeClr w14:val="tx1">
                      <w14:lumMod w14:val="95000"/>
                      <w14:lumOff w14:val="5000"/>
                    </w14:schemeClr>
                  </w14:solidFill>
                </w14:textFill>
              </w:rPr>
              <w:t>线缆指标要求</w:t>
            </w:r>
          </w:p>
        </w:tc>
      </w:tr>
      <w:tr w14:paraId="5B31A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324" w:type="dxa"/>
            <w:gridSpan w:val="2"/>
            <w:vMerge w:val="continue"/>
            <w:tcBorders>
              <w:top w:val="nil"/>
            </w:tcBorders>
            <w:vAlign w:val="center"/>
          </w:tcPr>
          <w:p w14:paraId="4F67A55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308" w:type="dxa"/>
            <w:vMerge w:val="continue"/>
            <w:tcBorders>
              <w:top w:val="nil"/>
            </w:tcBorders>
            <w:vAlign w:val="center"/>
          </w:tcPr>
          <w:p w14:paraId="7BCC809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561" w:type="dxa"/>
            <w:vAlign w:val="center"/>
          </w:tcPr>
          <w:p w14:paraId="1956188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耐火温度</w:t>
            </w:r>
          </w:p>
        </w:tc>
        <w:tc>
          <w:tcPr>
            <w:tcW w:w="743" w:type="dxa"/>
            <w:vAlign w:val="center"/>
          </w:tcPr>
          <w:p w14:paraId="250943E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持续供电时间</w:t>
            </w:r>
          </w:p>
        </w:tc>
        <w:tc>
          <w:tcPr>
            <w:tcW w:w="1305" w:type="dxa"/>
            <w:vAlign w:val="center"/>
          </w:tcPr>
          <w:p w14:paraId="415605E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线缆种类</w:t>
            </w:r>
          </w:p>
        </w:tc>
        <w:tc>
          <w:tcPr>
            <w:tcW w:w="632" w:type="dxa"/>
            <w:vAlign w:val="center"/>
          </w:tcPr>
          <w:p w14:paraId="042442B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燃烧</w:t>
            </w:r>
          </w:p>
          <w:p w14:paraId="045E062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性能</w:t>
            </w:r>
          </w:p>
        </w:tc>
        <w:tc>
          <w:tcPr>
            <w:tcW w:w="650" w:type="dxa"/>
            <w:vAlign w:val="center"/>
          </w:tcPr>
          <w:p w14:paraId="7AC17CDA">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阻燃</w:t>
            </w:r>
          </w:p>
          <w:p w14:paraId="52EB846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类别</w:t>
            </w:r>
          </w:p>
        </w:tc>
      </w:tr>
      <w:tr w14:paraId="762FF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1" w:type="dxa"/>
            <w:vMerge w:val="restart"/>
            <w:vAlign w:val="center"/>
          </w:tcPr>
          <w:p w14:paraId="19639AA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消</w:t>
            </w:r>
          </w:p>
          <w:p w14:paraId="769E823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防</w:t>
            </w:r>
          </w:p>
          <w:p w14:paraId="4C0000DB">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线</w:t>
            </w:r>
          </w:p>
          <w:p w14:paraId="62BD65E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路</w:t>
            </w:r>
          </w:p>
        </w:tc>
        <w:tc>
          <w:tcPr>
            <w:tcW w:w="1863" w:type="dxa"/>
            <w:vAlign w:val="center"/>
          </w:tcPr>
          <w:p w14:paraId="43586C7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18"/>
                <w:szCs w:val="18"/>
                <w14:textFill>
                  <w14:solidFill>
                    <w14:schemeClr w14:val="tx1">
                      <w14:lumMod w14:val="95000"/>
                      <w14:lumOff w14:val="5000"/>
                    </w14:schemeClr>
                  </w14:solidFill>
                </w14:textFill>
              </w:rPr>
              <w:t>消防控制室、消</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防电梯、消防水</w:t>
            </w:r>
            <w:r>
              <w:rPr>
                <w:rFonts w:hint="eastAsia" w:ascii="宋体" w:hAnsi="宋体" w:eastAsia="宋体" w:cs="宋体"/>
                <w:color w:val="0D0D0D" w:themeColor="text1" w:themeTint="F2"/>
                <w:spacing w:val="8"/>
                <w:sz w:val="18"/>
                <w:szCs w:val="18"/>
                <w14:textFill>
                  <w14:solidFill>
                    <w14:schemeClr w14:val="tx1">
                      <w14:lumMod w14:val="95000"/>
                      <w14:lumOff w14:val="5000"/>
                    </w14:schemeClr>
                  </w14:solidFill>
                </w14:textFill>
              </w:rPr>
              <w:t>泵、水幕泵的配</w:t>
            </w:r>
            <w:r>
              <w:rPr>
                <w:rFonts w:hint="eastAsia" w:ascii="宋体" w:hAnsi="宋体" w:eastAsia="宋体" w:cs="宋体"/>
                <w:color w:val="0D0D0D" w:themeColor="text1" w:themeTint="F2"/>
                <w:spacing w:val="-2"/>
                <w:sz w:val="18"/>
                <w:szCs w:val="18"/>
                <w14:textFill>
                  <w14:solidFill>
                    <w14:schemeClr w14:val="tx1">
                      <w14:lumMod w14:val="95000"/>
                      <w14:lumOff w14:val="5000"/>
                    </w14:schemeClr>
                  </w14:solidFill>
                </w14:textFill>
              </w:rPr>
              <w:t>电干线</w:t>
            </w:r>
          </w:p>
        </w:tc>
        <w:tc>
          <w:tcPr>
            <w:tcW w:w="1308" w:type="dxa"/>
            <w:vAlign w:val="center"/>
          </w:tcPr>
          <w:p w14:paraId="086C428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t>WDZN</w:t>
            </w:r>
            <w:r>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t>-YJ</w:t>
            </w:r>
            <w:r>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t>Y</w:t>
            </w:r>
          </w:p>
        </w:tc>
        <w:tc>
          <w:tcPr>
            <w:tcW w:w="1561" w:type="dxa"/>
            <w:vAlign w:val="center"/>
          </w:tcPr>
          <w:p w14:paraId="2B68D45B">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t>950℃~1000℃</w:t>
            </w:r>
          </w:p>
        </w:tc>
        <w:tc>
          <w:tcPr>
            <w:tcW w:w="743" w:type="dxa"/>
            <w:vAlign w:val="center"/>
          </w:tcPr>
          <w:p w14:paraId="7A933B5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t>180</w:t>
            </w:r>
          </w:p>
        </w:tc>
        <w:tc>
          <w:tcPr>
            <w:tcW w:w="1305" w:type="dxa"/>
            <w:vAlign w:val="center"/>
          </w:tcPr>
          <w:p w14:paraId="4F48D9E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t>低烟无卤阻燃耐火电缆</w:t>
            </w:r>
          </w:p>
        </w:tc>
        <w:tc>
          <w:tcPr>
            <w:tcW w:w="632" w:type="dxa"/>
            <w:vAlign w:val="center"/>
          </w:tcPr>
          <w:p w14:paraId="2506859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B1级</w:t>
            </w:r>
          </w:p>
        </w:tc>
        <w:tc>
          <w:tcPr>
            <w:tcW w:w="650" w:type="dxa"/>
            <w:vAlign w:val="center"/>
          </w:tcPr>
          <w:p w14:paraId="479804D4">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B级</w:t>
            </w:r>
          </w:p>
        </w:tc>
      </w:tr>
      <w:tr w14:paraId="33612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461" w:type="dxa"/>
            <w:vMerge w:val="continue"/>
            <w:textDirection w:val="tbRlV"/>
            <w:vAlign w:val="center"/>
          </w:tcPr>
          <w:p w14:paraId="0E3AD0F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5D07536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防排烟系统、疏</w:t>
            </w:r>
            <w:r>
              <w:rPr>
                <w:rFonts w:hint="eastAsia" w:ascii="宋体" w:hAnsi="宋体" w:eastAsia="宋体" w:cs="宋体"/>
                <w:color w:val="0D0D0D" w:themeColor="text1" w:themeTint="F2"/>
                <w:spacing w:val="8"/>
                <w:sz w:val="18"/>
                <w:szCs w:val="18"/>
                <w14:textFill>
                  <w14:solidFill>
                    <w14:schemeClr w14:val="tx1">
                      <w14:lumMod w14:val="95000"/>
                      <w14:lumOff w14:val="5000"/>
                    </w14:schemeClr>
                  </w14:solidFill>
                </w14:textFill>
              </w:rPr>
              <w:t>散照明系统配电</w:t>
            </w:r>
            <w:r>
              <w:rPr>
                <w:rFonts w:hint="eastAsia" w:ascii="宋体" w:hAnsi="宋体" w:eastAsia="宋体" w:cs="宋体"/>
                <w:color w:val="0D0D0D" w:themeColor="text1" w:themeTint="F2"/>
                <w:spacing w:val="5"/>
                <w:sz w:val="18"/>
                <w:szCs w:val="18"/>
                <w14:textFill>
                  <w14:solidFill>
                    <w14:schemeClr w14:val="tx1">
                      <w14:lumMod w14:val="95000"/>
                      <w14:lumOff w14:val="5000"/>
                    </w14:schemeClr>
                  </w14:solidFill>
                </w14:textFill>
              </w:rPr>
              <w:t>干线</w:t>
            </w:r>
          </w:p>
        </w:tc>
        <w:tc>
          <w:tcPr>
            <w:tcW w:w="1308" w:type="dxa"/>
            <w:vAlign w:val="center"/>
          </w:tcPr>
          <w:p w14:paraId="2698155D">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t>NG-A（BTLY）</w:t>
            </w:r>
          </w:p>
        </w:tc>
        <w:tc>
          <w:tcPr>
            <w:tcW w:w="1561" w:type="dxa"/>
            <w:vAlign w:val="center"/>
          </w:tcPr>
          <w:p w14:paraId="7CEDBB8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t>950℃~1000℃</w:t>
            </w:r>
          </w:p>
        </w:tc>
        <w:tc>
          <w:tcPr>
            <w:tcW w:w="743" w:type="dxa"/>
            <w:vAlign w:val="center"/>
          </w:tcPr>
          <w:p w14:paraId="21DE0824">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t>90</w:t>
            </w:r>
          </w:p>
        </w:tc>
        <w:tc>
          <w:tcPr>
            <w:tcW w:w="1305" w:type="dxa"/>
            <w:vAlign w:val="center"/>
          </w:tcPr>
          <w:p w14:paraId="2D315355">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矿物绝缘电缆</w:t>
            </w:r>
          </w:p>
        </w:tc>
        <w:tc>
          <w:tcPr>
            <w:tcW w:w="632" w:type="dxa"/>
            <w:vAlign w:val="center"/>
          </w:tcPr>
          <w:p w14:paraId="134758D6">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B1级</w:t>
            </w:r>
          </w:p>
        </w:tc>
        <w:tc>
          <w:tcPr>
            <w:tcW w:w="650" w:type="dxa"/>
            <w:vAlign w:val="center"/>
          </w:tcPr>
          <w:p w14:paraId="02C22E3B">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B级</w:t>
            </w:r>
          </w:p>
        </w:tc>
      </w:tr>
      <w:tr w14:paraId="68B47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714F8A31">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7FC124D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18"/>
                <w:szCs w:val="18"/>
                <w14:textFill>
                  <w14:solidFill>
                    <w14:schemeClr w14:val="tx1">
                      <w14:lumMod w14:val="95000"/>
                      <w14:lumOff w14:val="5000"/>
                    </w14:schemeClr>
                  </w14:solidFill>
                </w14:textFill>
              </w:rPr>
              <w:t>配电箱至防火卷</w:t>
            </w:r>
            <w:r>
              <w:rPr>
                <w:rFonts w:hint="eastAsia" w:ascii="宋体" w:hAnsi="宋体" w:eastAsia="宋体" w:cs="宋体"/>
                <w:color w:val="0D0D0D" w:themeColor="text1" w:themeTint="F2"/>
                <w:spacing w:val="7"/>
                <w:sz w:val="18"/>
                <w:szCs w:val="18"/>
                <w14:textFill>
                  <w14:solidFill>
                    <w14:schemeClr w14:val="tx1">
                      <w14:lumMod w14:val="95000"/>
                      <w14:lumOff w14:val="5000"/>
                    </w14:schemeClr>
                  </w14:solidFill>
                </w14:textFill>
              </w:rPr>
              <w:t>帘控制箱的分支</w:t>
            </w:r>
            <w:r>
              <w:rPr>
                <w:rFonts w:ascii="宋体" w:hAnsi="宋体" w:eastAsia="宋体" w:cs="宋体"/>
                <w:color w:val="0D0D0D" w:themeColor="text1" w:themeTint="F2"/>
                <w:spacing w:val="3"/>
                <w:sz w:val="18"/>
                <w:szCs w:val="18"/>
                <w14:textFill>
                  <w14:solidFill>
                    <w14:schemeClr w14:val="tx1">
                      <w14:lumMod w14:val="95000"/>
                      <w14:lumOff w14:val="5000"/>
                    </w14:schemeClr>
                  </w14:solidFill>
                </w14:textFill>
              </w:rPr>
              <w:t>线路</w:t>
            </w:r>
          </w:p>
        </w:tc>
        <w:tc>
          <w:tcPr>
            <w:tcW w:w="1308" w:type="dxa"/>
            <w:vAlign w:val="center"/>
          </w:tcPr>
          <w:p w14:paraId="0E984A4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t>WDZN</w:t>
            </w:r>
            <w:r>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t>-YJ</w:t>
            </w:r>
            <w:r>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t>Y</w:t>
            </w:r>
          </w:p>
        </w:tc>
        <w:tc>
          <w:tcPr>
            <w:tcW w:w="1561" w:type="dxa"/>
            <w:vAlign w:val="center"/>
          </w:tcPr>
          <w:p w14:paraId="2D678FA9">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t>950℃~1000℃</w:t>
            </w:r>
          </w:p>
        </w:tc>
        <w:tc>
          <w:tcPr>
            <w:tcW w:w="743" w:type="dxa"/>
            <w:vAlign w:val="center"/>
          </w:tcPr>
          <w:p w14:paraId="02D61788">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t>90</w:t>
            </w:r>
          </w:p>
        </w:tc>
        <w:tc>
          <w:tcPr>
            <w:tcW w:w="1305" w:type="dxa"/>
            <w:vAlign w:val="center"/>
          </w:tcPr>
          <w:p w14:paraId="539C786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t>低烟无卤阻燃耐火电缆</w:t>
            </w:r>
          </w:p>
        </w:tc>
        <w:tc>
          <w:tcPr>
            <w:tcW w:w="632" w:type="dxa"/>
            <w:vAlign w:val="center"/>
          </w:tcPr>
          <w:p w14:paraId="2EBCB83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B1级</w:t>
            </w:r>
          </w:p>
        </w:tc>
        <w:tc>
          <w:tcPr>
            <w:tcW w:w="650" w:type="dxa"/>
            <w:vAlign w:val="center"/>
          </w:tcPr>
          <w:p w14:paraId="2CBC28C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t>B级</w:t>
            </w:r>
          </w:p>
        </w:tc>
      </w:tr>
      <w:tr w14:paraId="4BACF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07E4C2C4">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55E8892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消防设备机房内的分支线路</w:t>
            </w:r>
          </w:p>
        </w:tc>
        <w:tc>
          <w:tcPr>
            <w:tcW w:w="1308" w:type="dxa"/>
            <w:vAlign w:val="center"/>
          </w:tcPr>
          <w:p w14:paraId="4DC0167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WDZN</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-YJ</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Y</w:t>
            </w:r>
          </w:p>
        </w:tc>
        <w:tc>
          <w:tcPr>
            <w:tcW w:w="1561" w:type="dxa"/>
            <w:vAlign w:val="center"/>
          </w:tcPr>
          <w:p w14:paraId="2AF4F81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950℃~1000℃</w:t>
            </w:r>
          </w:p>
        </w:tc>
        <w:tc>
          <w:tcPr>
            <w:tcW w:w="743" w:type="dxa"/>
            <w:vAlign w:val="center"/>
          </w:tcPr>
          <w:p w14:paraId="14075A3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180</w:t>
            </w:r>
          </w:p>
        </w:tc>
        <w:tc>
          <w:tcPr>
            <w:tcW w:w="1305" w:type="dxa"/>
            <w:vAlign w:val="center"/>
          </w:tcPr>
          <w:p w14:paraId="554B183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低烟无卤阻燃耐火电缆</w:t>
            </w:r>
          </w:p>
        </w:tc>
        <w:tc>
          <w:tcPr>
            <w:tcW w:w="632" w:type="dxa"/>
            <w:vAlign w:val="center"/>
          </w:tcPr>
          <w:p w14:paraId="239FB05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级</w:t>
            </w:r>
          </w:p>
        </w:tc>
        <w:tc>
          <w:tcPr>
            <w:tcW w:w="650" w:type="dxa"/>
            <w:vAlign w:val="center"/>
          </w:tcPr>
          <w:p w14:paraId="4A391E90">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B级</w:t>
            </w:r>
          </w:p>
        </w:tc>
      </w:tr>
      <w:tr w14:paraId="0A5F8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6AC09251">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shd w:val="clear" w:color="auto" w:fill="auto"/>
            <w:vAlign w:val="center"/>
          </w:tcPr>
          <w:p w14:paraId="290A20C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防火分区内的应急疏散照明支线</w:t>
            </w:r>
          </w:p>
        </w:tc>
        <w:tc>
          <w:tcPr>
            <w:tcW w:w="1308" w:type="dxa"/>
            <w:shd w:val="clear" w:color="auto" w:fill="auto"/>
            <w:vAlign w:val="center"/>
          </w:tcPr>
          <w:p w14:paraId="335C452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WDZN-RYJS</w:t>
            </w:r>
          </w:p>
          <w:p w14:paraId="33F6BFA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p>
        </w:tc>
        <w:tc>
          <w:tcPr>
            <w:tcW w:w="1561" w:type="dxa"/>
            <w:shd w:val="clear" w:color="auto" w:fill="auto"/>
            <w:vAlign w:val="center"/>
          </w:tcPr>
          <w:p w14:paraId="26B8CA0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en-US"/>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950℃~1000℃</w:t>
            </w:r>
          </w:p>
        </w:tc>
        <w:tc>
          <w:tcPr>
            <w:tcW w:w="743" w:type="dxa"/>
            <w:shd w:val="clear" w:color="auto" w:fill="auto"/>
            <w:vAlign w:val="center"/>
          </w:tcPr>
          <w:p w14:paraId="5EB33BA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90</w:t>
            </w:r>
          </w:p>
        </w:tc>
        <w:tc>
          <w:tcPr>
            <w:tcW w:w="1305" w:type="dxa"/>
            <w:shd w:val="clear" w:color="auto" w:fill="auto"/>
            <w:vAlign w:val="center"/>
          </w:tcPr>
          <w:p w14:paraId="2AA5196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低烟无卤阻燃耐火电缆</w:t>
            </w:r>
          </w:p>
        </w:tc>
        <w:tc>
          <w:tcPr>
            <w:tcW w:w="632" w:type="dxa"/>
            <w:shd w:val="clear" w:color="auto" w:fill="auto"/>
            <w:vAlign w:val="center"/>
          </w:tcPr>
          <w:p w14:paraId="4E0F2105">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en-US"/>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级</w:t>
            </w:r>
          </w:p>
        </w:tc>
        <w:tc>
          <w:tcPr>
            <w:tcW w:w="650" w:type="dxa"/>
            <w:shd w:val="clear" w:color="auto" w:fill="auto"/>
            <w:vAlign w:val="center"/>
          </w:tcPr>
          <w:p w14:paraId="2A96A72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en-US"/>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B级</w:t>
            </w:r>
          </w:p>
        </w:tc>
      </w:tr>
      <w:tr w14:paraId="3C54D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6E9C13A1">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76D0331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火灾自动报警系统报警、联动总线、联动控制线路、消防电话线、消防广播线等</w:t>
            </w:r>
          </w:p>
        </w:tc>
        <w:tc>
          <w:tcPr>
            <w:tcW w:w="1308" w:type="dxa"/>
            <w:vAlign w:val="center"/>
          </w:tcPr>
          <w:p w14:paraId="357171C8">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WDZN-RYJS</w:t>
            </w:r>
          </w:p>
          <w:p w14:paraId="159DD01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WDZN-KYJY</w:t>
            </w:r>
          </w:p>
          <w:p w14:paraId="387E94B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561" w:type="dxa"/>
            <w:vAlign w:val="center"/>
          </w:tcPr>
          <w:p w14:paraId="7824299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950℃~1000℃</w:t>
            </w:r>
          </w:p>
        </w:tc>
        <w:tc>
          <w:tcPr>
            <w:tcW w:w="743" w:type="dxa"/>
            <w:vAlign w:val="center"/>
          </w:tcPr>
          <w:p w14:paraId="00EB2AC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180</w:t>
            </w:r>
          </w:p>
        </w:tc>
        <w:tc>
          <w:tcPr>
            <w:tcW w:w="1305" w:type="dxa"/>
            <w:vAlign w:val="center"/>
          </w:tcPr>
          <w:p w14:paraId="427302E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低烟无卤阻燃耐火电缆</w:t>
            </w:r>
          </w:p>
        </w:tc>
        <w:tc>
          <w:tcPr>
            <w:tcW w:w="632" w:type="dxa"/>
            <w:vAlign w:val="center"/>
          </w:tcPr>
          <w:p w14:paraId="080AB6E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级</w:t>
            </w:r>
          </w:p>
        </w:tc>
        <w:tc>
          <w:tcPr>
            <w:tcW w:w="650" w:type="dxa"/>
            <w:vAlign w:val="center"/>
          </w:tcPr>
          <w:p w14:paraId="7AE8F4EA">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B级</w:t>
            </w:r>
          </w:p>
        </w:tc>
      </w:tr>
      <w:tr w14:paraId="65ACF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7470EABC">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2C3B25C7">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8"/>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w:t>
            </w:r>
          </w:p>
        </w:tc>
        <w:tc>
          <w:tcPr>
            <w:tcW w:w="1308" w:type="dxa"/>
            <w:vAlign w:val="center"/>
          </w:tcPr>
          <w:p w14:paraId="75DE52B3">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14"/>
                <w:w w:val="95"/>
                <w:sz w:val="18"/>
                <w:szCs w:val="18"/>
                <w:lang w:eastAsia="zh-CN"/>
                <w14:textFill>
                  <w14:solidFill>
                    <w14:schemeClr w14:val="tx1">
                      <w14:lumMod w14:val="95000"/>
                      <w14:lumOff w14:val="5000"/>
                    </w14:schemeClr>
                  </w14:solidFill>
                </w14:textFill>
              </w:rPr>
            </w:pPr>
          </w:p>
        </w:tc>
        <w:tc>
          <w:tcPr>
            <w:tcW w:w="1561" w:type="dxa"/>
            <w:vAlign w:val="center"/>
          </w:tcPr>
          <w:p w14:paraId="4DC63A47">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14"/>
                <w:w w:val="95"/>
                <w:sz w:val="18"/>
                <w:szCs w:val="18"/>
                <w14:textFill>
                  <w14:solidFill>
                    <w14:schemeClr w14:val="tx1">
                      <w14:lumMod w14:val="95000"/>
                      <w14:lumOff w14:val="5000"/>
                    </w14:schemeClr>
                  </w14:solidFill>
                </w14:textFill>
              </w:rPr>
            </w:pPr>
          </w:p>
        </w:tc>
        <w:tc>
          <w:tcPr>
            <w:tcW w:w="743" w:type="dxa"/>
            <w:vAlign w:val="center"/>
          </w:tcPr>
          <w:p w14:paraId="5777CD3B">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p>
        </w:tc>
        <w:tc>
          <w:tcPr>
            <w:tcW w:w="1305" w:type="dxa"/>
            <w:vAlign w:val="center"/>
          </w:tcPr>
          <w:p w14:paraId="1708AD10">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lang w:eastAsia="zh-CN"/>
                <w14:textFill>
                  <w14:solidFill>
                    <w14:schemeClr w14:val="tx1">
                      <w14:lumMod w14:val="95000"/>
                      <w14:lumOff w14:val="5000"/>
                    </w14:schemeClr>
                  </w14:solidFill>
                </w14:textFill>
              </w:rPr>
            </w:pPr>
          </w:p>
        </w:tc>
        <w:tc>
          <w:tcPr>
            <w:tcW w:w="632" w:type="dxa"/>
            <w:vAlign w:val="center"/>
          </w:tcPr>
          <w:p w14:paraId="70882BBE">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650" w:type="dxa"/>
            <w:vAlign w:val="center"/>
          </w:tcPr>
          <w:p w14:paraId="1539B02F">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r>
      <w:tr w14:paraId="0CA84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restart"/>
            <w:vAlign w:val="center"/>
          </w:tcPr>
          <w:p w14:paraId="6943FAF3">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t>非</w:t>
            </w:r>
          </w:p>
          <w:p w14:paraId="0A2C9980">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t>消</w:t>
            </w:r>
          </w:p>
          <w:p w14:paraId="356DA21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t>防</w:t>
            </w:r>
          </w:p>
          <w:p w14:paraId="31F6257A">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t>线</w:t>
            </w:r>
          </w:p>
          <w:p w14:paraId="560F564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default" w:ascii="宋体" w:hAnsi="宋体" w:eastAsia="宋体" w:cs="宋体"/>
                <w:color w:val="0D0D0D" w:themeColor="text1" w:themeTint="F2"/>
                <w:sz w:val="18"/>
                <w:szCs w:val="1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val="en-US" w:eastAsia="zh-CN"/>
                <w14:textFill>
                  <w14:solidFill>
                    <w14:schemeClr w14:val="tx1">
                      <w14:lumMod w14:val="95000"/>
                      <w14:lumOff w14:val="5000"/>
                    </w14:schemeClr>
                  </w14:solidFill>
                </w14:textFill>
              </w:rPr>
              <w:t>路</w:t>
            </w:r>
          </w:p>
        </w:tc>
        <w:tc>
          <w:tcPr>
            <w:tcW w:w="1863" w:type="dxa"/>
            <w:vAlign w:val="center"/>
          </w:tcPr>
          <w:p w14:paraId="2C0464C1">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低压配电干线、 支干线</w:t>
            </w:r>
          </w:p>
        </w:tc>
        <w:tc>
          <w:tcPr>
            <w:tcW w:w="1308" w:type="dxa"/>
            <w:vAlign w:val="center"/>
          </w:tcPr>
          <w:p w14:paraId="16CEE29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WDZ-YJY</w:t>
            </w:r>
          </w:p>
        </w:tc>
        <w:tc>
          <w:tcPr>
            <w:tcW w:w="1561" w:type="dxa"/>
            <w:vAlign w:val="center"/>
          </w:tcPr>
          <w:p w14:paraId="18321CC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t>
            </w:r>
          </w:p>
        </w:tc>
        <w:tc>
          <w:tcPr>
            <w:tcW w:w="743" w:type="dxa"/>
            <w:vAlign w:val="center"/>
          </w:tcPr>
          <w:p w14:paraId="550A824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305" w:type="dxa"/>
            <w:vAlign w:val="center"/>
          </w:tcPr>
          <w:p w14:paraId="7F21D2B0">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低烟无卤阻燃电缆</w:t>
            </w:r>
          </w:p>
        </w:tc>
        <w:tc>
          <w:tcPr>
            <w:tcW w:w="632" w:type="dxa"/>
            <w:vAlign w:val="center"/>
          </w:tcPr>
          <w:p w14:paraId="1C403996">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级</w:t>
            </w:r>
          </w:p>
        </w:tc>
        <w:tc>
          <w:tcPr>
            <w:tcW w:w="650" w:type="dxa"/>
            <w:vAlign w:val="center"/>
          </w:tcPr>
          <w:p w14:paraId="15C5219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B级</w:t>
            </w:r>
          </w:p>
        </w:tc>
      </w:tr>
      <w:tr w14:paraId="07BD5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4460E135">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448129A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配电支线</w:t>
            </w:r>
          </w:p>
        </w:tc>
        <w:tc>
          <w:tcPr>
            <w:tcW w:w="1308" w:type="dxa"/>
            <w:vAlign w:val="center"/>
          </w:tcPr>
          <w:p w14:paraId="510FBD5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WDZ-BYJ</w:t>
            </w:r>
          </w:p>
        </w:tc>
        <w:tc>
          <w:tcPr>
            <w:tcW w:w="1561" w:type="dxa"/>
            <w:vAlign w:val="center"/>
          </w:tcPr>
          <w:p w14:paraId="424FE55F">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w:t>
            </w:r>
          </w:p>
        </w:tc>
        <w:tc>
          <w:tcPr>
            <w:tcW w:w="743" w:type="dxa"/>
            <w:vAlign w:val="center"/>
          </w:tcPr>
          <w:p w14:paraId="53738F0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305" w:type="dxa"/>
            <w:vAlign w:val="center"/>
          </w:tcPr>
          <w:p w14:paraId="4EED4855">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低烟无卤阻燃电缆</w:t>
            </w:r>
          </w:p>
        </w:tc>
        <w:tc>
          <w:tcPr>
            <w:tcW w:w="632" w:type="dxa"/>
            <w:vAlign w:val="center"/>
          </w:tcPr>
          <w:p w14:paraId="5818C8D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w:t>
            </w:r>
            <w:r>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级</w:t>
            </w:r>
          </w:p>
        </w:tc>
        <w:tc>
          <w:tcPr>
            <w:tcW w:w="650" w:type="dxa"/>
            <w:vAlign w:val="center"/>
          </w:tcPr>
          <w:p w14:paraId="4539FB05">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B级</w:t>
            </w:r>
          </w:p>
        </w:tc>
      </w:tr>
      <w:tr w14:paraId="1936F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6772E4BA">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5368D23A">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通信电缆、光缆</w:t>
            </w:r>
          </w:p>
        </w:tc>
        <w:tc>
          <w:tcPr>
            <w:tcW w:w="1308" w:type="dxa"/>
            <w:vAlign w:val="center"/>
          </w:tcPr>
          <w:p w14:paraId="4992D530">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561" w:type="dxa"/>
            <w:vAlign w:val="center"/>
          </w:tcPr>
          <w:p w14:paraId="4EF57E5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c>
          <w:tcPr>
            <w:tcW w:w="743" w:type="dxa"/>
            <w:vAlign w:val="center"/>
          </w:tcPr>
          <w:p w14:paraId="6F196C3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305" w:type="dxa"/>
            <w:vAlign w:val="center"/>
          </w:tcPr>
          <w:p w14:paraId="3197E519">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632" w:type="dxa"/>
            <w:vAlign w:val="center"/>
          </w:tcPr>
          <w:p w14:paraId="66FD00C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c>
          <w:tcPr>
            <w:tcW w:w="650" w:type="dxa"/>
            <w:vAlign w:val="center"/>
          </w:tcPr>
          <w:p w14:paraId="5D2D6DE2">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r>
      <w:tr w14:paraId="76F24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461" w:type="dxa"/>
            <w:vMerge w:val="continue"/>
            <w:textDirection w:val="tbRlV"/>
            <w:vAlign w:val="center"/>
          </w:tcPr>
          <w:p w14:paraId="688C2EA2">
            <w:pPr>
              <w:pStyle w:val="18"/>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z w:val="18"/>
                <w:szCs w:val="18"/>
                <w14:textFill>
                  <w14:solidFill>
                    <w14:schemeClr w14:val="tx1">
                      <w14:lumMod w14:val="95000"/>
                      <w14:lumOff w14:val="5000"/>
                    </w14:schemeClr>
                  </w14:solidFill>
                </w14:textFill>
              </w:rPr>
            </w:pPr>
          </w:p>
        </w:tc>
        <w:tc>
          <w:tcPr>
            <w:tcW w:w="1863" w:type="dxa"/>
            <w:vAlign w:val="center"/>
          </w:tcPr>
          <w:p w14:paraId="1F5EE5E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t>……</w:t>
            </w:r>
          </w:p>
        </w:tc>
        <w:tc>
          <w:tcPr>
            <w:tcW w:w="1308" w:type="dxa"/>
            <w:vAlign w:val="center"/>
          </w:tcPr>
          <w:p w14:paraId="6CB2194C">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561" w:type="dxa"/>
            <w:vAlign w:val="center"/>
          </w:tcPr>
          <w:p w14:paraId="7BF8188E">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c>
          <w:tcPr>
            <w:tcW w:w="743" w:type="dxa"/>
            <w:vAlign w:val="center"/>
          </w:tcPr>
          <w:p w14:paraId="585B488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1305" w:type="dxa"/>
            <w:vAlign w:val="center"/>
          </w:tcPr>
          <w:p w14:paraId="4F1971E4">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lang w:eastAsia="zh-CN"/>
                <w14:textFill>
                  <w14:solidFill>
                    <w14:schemeClr w14:val="tx1">
                      <w14:lumMod w14:val="95000"/>
                      <w14:lumOff w14:val="5000"/>
                    </w14:schemeClr>
                  </w14:solidFill>
                </w14:textFill>
              </w:rPr>
            </w:pPr>
          </w:p>
        </w:tc>
        <w:tc>
          <w:tcPr>
            <w:tcW w:w="632" w:type="dxa"/>
            <w:vAlign w:val="center"/>
          </w:tcPr>
          <w:p w14:paraId="7870B26D">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c>
          <w:tcPr>
            <w:tcW w:w="650" w:type="dxa"/>
            <w:vAlign w:val="center"/>
          </w:tcPr>
          <w:p w14:paraId="03F5BBA5">
            <w:pPr>
              <w:keepNext w:val="0"/>
              <w:keepLines/>
              <w:pageBreakBefore w:val="0"/>
              <w:widowControl/>
              <w:kinsoku w:val="0"/>
              <w:wordWrap/>
              <w:overflowPunct/>
              <w:topLinePunct w:val="0"/>
              <w:autoSpaceDE w:val="0"/>
              <w:autoSpaceDN w:val="0"/>
              <w:bidi w:val="0"/>
              <w:adjustRightInd w:val="0"/>
              <w:snapToGrid w:val="0"/>
              <w:spacing w:line="288" w:lineRule="auto"/>
              <w:ind w:left="0" w:leftChars="0" w:right="0" w:rightChars="0" w:firstLine="0" w:firstLineChars="0"/>
              <w:jc w:val="center"/>
              <w:textAlignment w:val="baseline"/>
              <w:rPr>
                <w:rFonts w:hint="eastAsia" w:ascii="宋体" w:hAnsi="宋体" w:eastAsia="宋体" w:cs="宋体"/>
                <w:color w:val="0D0D0D" w:themeColor="text1" w:themeTint="F2"/>
                <w:spacing w:val="6"/>
                <w:sz w:val="18"/>
                <w:szCs w:val="18"/>
                <w14:textFill>
                  <w14:solidFill>
                    <w14:schemeClr w14:val="tx1">
                      <w14:lumMod w14:val="95000"/>
                      <w14:lumOff w14:val="5000"/>
                    </w14:schemeClr>
                  </w14:solidFill>
                </w14:textFill>
              </w:rPr>
            </w:pPr>
          </w:p>
        </w:tc>
      </w:tr>
    </w:tbl>
    <w:p w14:paraId="1903E942">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0"/>
          <w:szCs w:val="20"/>
          <w14:textFill>
            <w14:solidFill>
              <w14:schemeClr w14:val="tx1">
                <w14:lumMod w14:val="95000"/>
                <w14:lumOff w14:val="5000"/>
              </w14:schemeClr>
            </w14:solidFill>
          </w14:textFill>
        </w:rPr>
        <w:t>注：消防垂直配电干线计算电流在</w:t>
      </w:r>
      <w:r>
        <w:rPr>
          <w:rFonts w:hint="eastAsia" w:ascii="宋体" w:hAnsi="宋体" w:eastAsia="宋体" w:cs="宋体"/>
          <w:color w:val="0D0D0D" w:themeColor="text1" w:themeTint="F2"/>
          <w:spacing w:val="-28"/>
          <w:sz w:val="20"/>
          <w:szCs w:val="2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8"/>
          <w:sz w:val="20"/>
          <w:szCs w:val="20"/>
          <w14:textFill>
            <w14:solidFill>
              <w14:schemeClr w14:val="tx1">
                <w14:lumMod w14:val="95000"/>
                <w14:lumOff w14:val="5000"/>
              </w14:schemeClr>
            </w14:solidFill>
          </w14:textFill>
        </w:rPr>
        <w:t>400A</w:t>
      </w:r>
      <w:r>
        <w:rPr>
          <w:rFonts w:hint="eastAsia" w:ascii="宋体" w:hAnsi="宋体" w:eastAsia="宋体" w:cs="宋体"/>
          <w:color w:val="0D0D0D" w:themeColor="text1" w:themeTint="F2"/>
          <w:spacing w:val="-42"/>
          <w:sz w:val="20"/>
          <w:szCs w:val="2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8"/>
          <w:sz w:val="20"/>
          <w:szCs w:val="20"/>
          <w14:textFill>
            <w14:solidFill>
              <w14:schemeClr w14:val="tx1">
                <w14:lumMod w14:val="95000"/>
                <w14:lumOff w14:val="5000"/>
              </w14:schemeClr>
            </w14:solidFill>
          </w14:textFill>
        </w:rPr>
        <w:t>及以上时，采用耐火母线槽供电。</w:t>
      </w:r>
    </w:p>
    <w:p w14:paraId="50CEAE2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5.8.3 线路敷设及电气防火封堵</w:t>
      </w:r>
    </w:p>
    <w:p w14:paraId="7402FA06">
      <w:pPr>
        <w:keepNext w:val="0"/>
        <w:keepLines/>
        <w:pageBreakBefore w:val="0"/>
        <w:wordWrap/>
        <w:topLinePunct w:val="0"/>
        <w:bidi w:val="0"/>
        <w:spacing w:line="288" w:lineRule="auto"/>
        <w:ind w:left="0" w:leftChars="0" w:right="0" w:rightChars="0" w:firstLine="419" w:firstLineChars="169"/>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1 所有消防用电设备的配线均满足火灾时</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候连续供电的需求，明敷时保护</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管管外刷防火漆或涂料或敷设在有防火保护措施的封闭式桥架内；暗敷时敷设</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在非燃烧体结构内，其保护层厚度不小于</w:t>
      </w:r>
      <w:r>
        <w:rPr>
          <w:rFonts w:hint="eastAsia" w:ascii="宋体" w:hAnsi="宋体" w:eastAsia="宋体" w:cs="宋体"/>
          <w:color w:val="0D0D0D" w:themeColor="text1" w:themeTint="F2"/>
          <w:spacing w:val="-29"/>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3</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cm</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。除屋面外，为消防用电负荷提</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供电源电缆，除变电所、电气管井外的其它场所采用</w:t>
      </w:r>
      <w:r>
        <w:rPr>
          <w:rFonts w:hint="eastAsia" w:ascii="宋体" w:hAnsi="宋体" w:eastAsia="宋体" w:cs="宋体"/>
          <w:color w:val="0D0D0D" w:themeColor="text1" w:themeTint="F2"/>
          <w:spacing w:val="-5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F1</w:t>
      </w:r>
      <w:r>
        <w:rPr>
          <w:rFonts w:hint="eastAsia" w:ascii="宋体" w:hAnsi="宋体" w:eastAsia="宋体" w:cs="宋体"/>
          <w:color w:val="0D0D0D" w:themeColor="text1" w:themeTint="F2"/>
          <w:spacing w:val="-4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级耐火电缆槽盒保</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护。</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当敷设在金属线槽（中间设防火隔板）中，消防电源的两个回路须分别敷设在</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隔板两侧。</w:t>
      </w:r>
    </w:p>
    <w:p w14:paraId="78D9F4F1">
      <w:pPr>
        <w:keepNext w:val="0"/>
        <w:keepLines/>
        <w:pageBreakBefore w:val="0"/>
        <w:wordWrap/>
        <w:topLinePunct w:val="0"/>
        <w:bidi w:val="0"/>
        <w:spacing w:line="288" w:lineRule="auto"/>
        <w:ind w:left="0" w:leftChars="0" w:right="0" w:rightChars="0" w:firstLine="425" w:firstLineChars="169"/>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2 布线用的各种电缆、导管、电缆桥架及母线槽等穿越防火分区的隔墙、</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楼板及防火卷帘上方的防火隔板时，其空隙在安装完毕后采用耐火极限不低于建筑构建耐火极限的不燃性防火封堵材料填塞密实；建筑内的电缆井应在每层楼板处采用不低于楼板耐火极限的不燃性防火封堵材料封堵；电缆井</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与房间、</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走道等相连的孔洞,其空隙采用不燃烧材料填塞密实。</w:t>
      </w:r>
    </w:p>
    <w:p w14:paraId="0078185F">
      <w:pPr>
        <w:keepNext w:val="0"/>
        <w:keepLines/>
        <w:pageBreakBefore w:val="0"/>
        <w:wordWrap/>
        <w:topLinePunct w:val="0"/>
        <w:bidi w:val="0"/>
        <w:spacing w:line="288" w:lineRule="auto"/>
        <w:ind w:left="0" w:leftChars="0" w:right="0" w:rightChars="0" w:firstLine="419" w:firstLineChars="169"/>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3 弱电配线管网金属管及槽盒不穿越建筑楼梯间、前室和合用前室内墙。当导管及槽盒必须局部穿越前室或合用前室的内墙或楼板时，对金属导</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管及槽</w:t>
      </w: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盒采取防火措施，并在穿越段的管槽外加设与建筑构件耐火等级相同的</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装饰材</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料进行包封。</w:t>
      </w:r>
    </w:p>
    <w:p w14:paraId="487974E7">
      <w:pPr>
        <w:rPr>
          <w:rFonts w:hint="eastAsia" w:ascii="宋体" w:hAnsi="宋体" w:eastAsia="宋体" w:cs="宋体"/>
          <w:color w:val="0D0D0D" w:themeColor="text1" w:themeTint="F2"/>
          <w:sz w:val="24"/>
          <w:szCs w:val="24"/>
          <w:lang w:val="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zh-CN"/>
          <w14:textFill>
            <w14:solidFill>
              <w14:schemeClr w14:val="tx1">
                <w14:lumMod w14:val="95000"/>
                <w14:lumOff w14:val="5000"/>
              </w14:schemeClr>
            </w14:solidFill>
          </w14:textFill>
        </w:rPr>
        <w:br w:type="page"/>
      </w:r>
    </w:p>
    <w:p w14:paraId="0100BBB4">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pPr>
      <w:r>
        <w:rPr>
          <w:rFonts w:hint="eastAsia" w:ascii="宋体" w:hAnsi="宋体" w:eastAsia="宋体" w:cs="宋体"/>
          <w:b/>
          <w:bCs/>
          <w:color w:val="0D0D0D" w:themeColor="text1" w:themeTint="F2"/>
          <w:spacing w:val="-10"/>
          <w:sz w:val="28"/>
          <w:szCs w:val="28"/>
          <w14:textFill>
            <w14:solidFill>
              <w14:schemeClr w14:val="tx1">
                <w14:lumMod w14:val="95000"/>
                <w14:lumOff w14:val="5000"/>
              </w14:schemeClr>
            </w14:solidFill>
          </w14:textFill>
        </w:rPr>
        <w:t>6 暖通专业</w:t>
      </w:r>
    </w:p>
    <w:p w14:paraId="6B722775">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12759AFB">
      <w:pPr>
        <w:pStyle w:val="16"/>
        <w:keepNext w:val="0"/>
        <w:keepLines/>
        <w:pageBreakBefore w:val="0"/>
        <w:numPr>
          <w:ilvl w:val="0"/>
          <w:numId w:val="0"/>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t>6.1</w:t>
      </w:r>
      <w:r>
        <w:rPr>
          <w:rFonts w:hint="eastAsia" w:ascii="宋体" w:hAnsi="宋体" w:eastAsia="宋体" w:cs="宋体"/>
          <w:bCs/>
          <w:snapToGrid w:val="0"/>
          <w:color w:val="0D0D0D" w:themeColor="text1" w:themeTint="F2"/>
          <w:sz w:val="24"/>
          <w:szCs w:val="24"/>
          <w:lang w:val="en-US" w:eastAsia="zh-CN" w:bidi="zh-CN"/>
          <w14:textFill>
            <w14:solidFill>
              <w14:schemeClr w14:val="tx1">
                <w14:lumMod w14:val="95000"/>
                <w14:lumOff w14:val="5000"/>
              </w14:schemeClr>
            </w14:solidFill>
          </w14:textFill>
        </w:rPr>
        <w:t xml:space="preserve"> </w:t>
      </w:r>
      <w:r>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t>改造内容</w:t>
      </w:r>
    </w:p>
    <w:p w14:paraId="363AF1EA">
      <w:pPr>
        <w:pStyle w:val="16"/>
        <w:keepNext w:val="0"/>
        <w:keepLines/>
        <w:pageBreakBefore w:val="0"/>
        <w:numPr>
          <w:ilvl w:val="0"/>
          <w:numId w:val="2"/>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防烟系统 □是 </w:t>
      </w:r>
      <w:r>
        <w:rPr>
          <w:rFonts w:hint="eastAsia" w:ascii="宋体" w:hAnsi="宋体" w:eastAsia="宋体" w:cs="宋体"/>
          <w:color w:val="0D0D0D" w:themeColor="text1" w:themeTint="F2"/>
          <w:sz w:val="24"/>
          <w:szCs w:val="24"/>
          <w:lang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否 发生变化，具体为: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p w14:paraId="34C287BD">
      <w:pPr>
        <w:pStyle w:val="16"/>
        <w:keepNext w:val="0"/>
        <w:keepLines/>
        <w:pageBreakBefore w:val="0"/>
        <w:numPr>
          <w:ilvl w:val="0"/>
          <w:numId w:val="2"/>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z w:val="24"/>
          <w:szCs w:val="24"/>
        </w:rPr>
        <w:t xml:space="preserve">排烟系统 </w:t>
      </w:r>
      <w:r>
        <w:rPr>
          <w:rFonts w:hint="eastAsia" w:ascii="宋体" w:hAnsi="宋体" w:eastAsia="宋体" w:cs="宋体"/>
          <w:color w:val="C00000"/>
          <w:sz w:val="24"/>
          <w:szCs w:val="24"/>
          <w:lang w:eastAsia="zh-CN"/>
        </w:rPr>
        <w:t>☑</w:t>
      </w:r>
      <w:r>
        <w:rPr>
          <w:rFonts w:hint="eastAsia" w:ascii="宋体" w:hAnsi="宋体" w:eastAsia="宋体" w:cs="宋体"/>
          <w:color w:val="C00000"/>
          <w:sz w:val="24"/>
          <w:szCs w:val="24"/>
        </w:rPr>
        <w:t>是 □否 发生变化，具体为:</w:t>
      </w:r>
      <w:r>
        <w:rPr>
          <w:rFonts w:hint="eastAsia" w:ascii="宋体" w:hAnsi="宋体" w:eastAsia="宋体" w:cs="宋体"/>
          <w:color w:val="C00000"/>
          <w:sz w:val="24"/>
          <w:szCs w:val="24"/>
          <w:u w:val="single"/>
        </w:rPr>
        <w:t xml:space="preserve"> </w:t>
      </w:r>
      <w:r>
        <w:rPr>
          <w:rFonts w:hint="eastAsia" w:ascii="宋体" w:hAnsi="宋体" w:eastAsia="宋体" w:cs="宋体"/>
          <w:color w:val="C00000"/>
          <w:sz w:val="24"/>
          <w:szCs w:val="24"/>
          <w:u w:val="single"/>
          <w:lang w:val="en-US" w:eastAsia="zh-CN"/>
        </w:rPr>
        <w:t xml:space="preserve">按新规新增机械排烟系统 </w:t>
      </w:r>
      <w:r>
        <w:rPr>
          <w:rFonts w:hint="eastAsia" w:ascii="宋体" w:hAnsi="宋体" w:eastAsia="宋体" w:cs="宋体"/>
          <w:color w:val="C00000"/>
          <w:sz w:val="24"/>
          <w:szCs w:val="24"/>
        </w:rPr>
        <w:t>。</w:t>
      </w:r>
    </w:p>
    <w:p w14:paraId="6A9F9AEE">
      <w:pPr>
        <w:pStyle w:val="16"/>
        <w:keepNext w:val="0"/>
        <w:keepLines/>
        <w:pageBreakBefore w:val="0"/>
        <w:numPr>
          <w:ilvl w:val="0"/>
          <w:numId w:val="2"/>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p>
    <w:p w14:paraId="3AA13C55">
      <w:pPr>
        <w:pStyle w:val="16"/>
        <w:keepNext w:val="0"/>
        <w:keepLines/>
        <w:pageBreakBefore w:val="0"/>
        <w:numPr>
          <w:ilvl w:val="0"/>
          <w:numId w:val="0"/>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pPr>
    </w:p>
    <w:p w14:paraId="2F8C8822">
      <w:pPr>
        <w:pStyle w:val="16"/>
        <w:keepNext w:val="0"/>
        <w:keepLines/>
        <w:pageBreakBefore w:val="0"/>
        <w:numPr>
          <w:ilvl w:val="0"/>
          <w:numId w:val="0"/>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t>6.2</w:t>
      </w:r>
      <w:r>
        <w:rPr>
          <w:rFonts w:hint="eastAsia" w:ascii="宋体" w:hAnsi="宋体" w:eastAsia="宋体" w:cs="宋体"/>
          <w:bCs/>
          <w:snapToGrid w:val="0"/>
          <w:color w:val="0D0D0D" w:themeColor="text1" w:themeTint="F2"/>
          <w:sz w:val="24"/>
          <w:szCs w:val="24"/>
          <w:lang w:val="en-US" w:eastAsia="zh-CN" w:bidi="zh-CN"/>
          <w14:textFill>
            <w14:solidFill>
              <w14:schemeClr w14:val="tx1">
                <w14:lumMod w14:val="95000"/>
                <w14:lumOff w14:val="5000"/>
              </w14:schemeClr>
            </w14:solidFill>
          </w14:textFill>
        </w:rPr>
        <w:t xml:space="preserve"> </w:t>
      </w:r>
      <w:r>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t>新增防烟系统设计</w:t>
      </w:r>
    </w:p>
    <w:p w14:paraId="4E059BB1">
      <w:pPr>
        <w:pStyle w:val="16"/>
        <w:keepNext w:val="0"/>
        <w:keepLines/>
        <w:pageBreakBefore w:val="0"/>
        <w:numPr>
          <w:ilvl w:val="0"/>
          <w:numId w:val="3"/>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防烟设计范围</w:t>
      </w:r>
    </w:p>
    <w:p w14:paraId="0CD3BABD">
      <w:pPr>
        <w:pStyle w:val="5"/>
        <w:keepNext w:val="0"/>
        <w:keepLines/>
        <w:pageBreakBefore w:val="0"/>
        <w:numPr>
          <w:ilvl w:val="3"/>
          <w:numId w:val="4"/>
        </w:numPr>
        <w:tabs>
          <w:tab w:val="left" w:pos="1089"/>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本工程新增</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6"/>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地下楼梯间，在首层满足自然通风的条件，采用自然通风。</w:t>
      </w:r>
    </w:p>
    <w:p w14:paraId="3378F9A9">
      <w:pPr>
        <w:pStyle w:val="5"/>
        <w:keepNext w:val="0"/>
        <w:keepLines/>
        <w:pageBreakBefore w:val="0"/>
        <w:numPr>
          <w:ilvl w:val="3"/>
          <w:numId w:val="4"/>
        </w:numPr>
        <w:tabs>
          <w:tab w:val="left" w:pos="1089"/>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本工程新增</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5"/>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不满足自然通风条件的地下室防烟楼梯间、封闭楼梯间、独立前室、共用前室、合用前室及消防电梯前室均设置机械加压送风系统。</w:t>
      </w:r>
    </w:p>
    <w:p w14:paraId="1BF4CC65">
      <w:pPr>
        <w:pStyle w:val="5"/>
        <w:keepNext w:val="0"/>
        <w:keepLines/>
        <w:pageBreakBefore w:val="0"/>
        <w:numPr>
          <w:ilvl w:val="3"/>
          <w:numId w:val="4"/>
        </w:numPr>
        <w:tabs>
          <w:tab w:val="left" w:pos="1089"/>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本工程新增</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地上部分防烟楼梯间、封闭楼梯间、独立前室、共用前室、合用前室及消防电梯前室满足自然通风的条件，采用自然通风。</w:t>
      </w:r>
    </w:p>
    <w:p w14:paraId="7CADA1F7">
      <w:pPr>
        <w:pStyle w:val="5"/>
        <w:keepNext w:val="0"/>
        <w:keepLines/>
        <w:pageBreakBefore w:val="0"/>
        <w:numPr>
          <w:ilvl w:val="3"/>
          <w:numId w:val="4"/>
        </w:numPr>
        <w:tabs>
          <w:tab w:val="left" w:pos="1089"/>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本工程新增</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5"/>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不满足自然通风条件的地上部分防烟楼梯间、封闭楼梯间、独立前室、共用前室、合用前室及消防电梯前室均设置机械加压送风系统。</w:t>
      </w:r>
    </w:p>
    <w:p w14:paraId="1E0B9FD1">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（下划线处填写楼梯间、前室等编号）</w:t>
      </w:r>
    </w:p>
    <w:p w14:paraId="49CE1290">
      <w:pPr>
        <w:pStyle w:val="16"/>
        <w:keepNext w:val="0"/>
        <w:keepLines/>
        <w:pageBreakBefore w:val="0"/>
        <w:numPr>
          <w:ilvl w:val="0"/>
          <w:numId w:val="3"/>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防烟方式及计算</w:t>
      </w:r>
    </w:p>
    <w:p w14:paraId="3562A433">
      <w:pPr>
        <w:pStyle w:val="5"/>
        <w:keepNext w:val="0"/>
        <w:keepLines/>
        <w:pageBreakBefore w:val="0"/>
        <w:numPr>
          <w:ilvl w:val="3"/>
          <w:numId w:val="5"/>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各区域防烟方式见表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6.2.2.1。</w:t>
      </w:r>
    </w:p>
    <w:p w14:paraId="468C5207">
      <w:pPr>
        <w:pStyle w:val="5"/>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pPr>
      <w: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t>表 6.2.2.1 各区域防烟方式汇总</w:t>
      </w:r>
    </w:p>
    <w:tbl>
      <w:tblPr>
        <w:tblStyle w:val="10"/>
        <w:tblW w:w="8519" w:type="dxa"/>
        <w:jc w:val="center"/>
        <w:tblLayout w:type="fixed"/>
        <w:tblCellMar>
          <w:top w:w="0" w:type="dxa"/>
          <w:left w:w="0" w:type="dxa"/>
          <w:bottom w:w="0" w:type="dxa"/>
          <w:right w:w="0" w:type="dxa"/>
        </w:tblCellMar>
      </w:tblPr>
      <w:tblGrid>
        <w:gridCol w:w="801"/>
        <w:gridCol w:w="779"/>
        <w:gridCol w:w="1577"/>
        <w:gridCol w:w="1478"/>
        <w:gridCol w:w="1568"/>
        <w:gridCol w:w="1391"/>
        <w:gridCol w:w="925"/>
      </w:tblGrid>
      <w:tr w14:paraId="1813383B">
        <w:tblPrEx>
          <w:tblCellMar>
            <w:top w:w="0" w:type="dxa"/>
            <w:left w:w="0" w:type="dxa"/>
            <w:bottom w:w="0" w:type="dxa"/>
            <w:right w:w="0" w:type="dxa"/>
          </w:tblCellMar>
        </w:tblPrEx>
        <w:trPr>
          <w:trHeight w:val="340" w:hRule="atLeast"/>
          <w:jc w:val="center"/>
        </w:trPr>
        <w:tc>
          <w:tcPr>
            <w:tcW w:w="801" w:type="dxa"/>
            <w:vMerge w:val="restart"/>
            <w:tcBorders>
              <w:top w:val="single" w:color="000000" w:sz="4" w:space="0"/>
              <w:left w:val="single" w:color="000000" w:sz="4" w:space="0"/>
              <w:bottom w:val="single" w:color="000000" w:sz="4" w:space="0"/>
              <w:right w:val="single" w:color="000000" w:sz="4" w:space="0"/>
            </w:tcBorders>
            <w:vAlign w:val="center"/>
          </w:tcPr>
          <w:p w14:paraId="08BB4F47">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序号</w:t>
            </w:r>
          </w:p>
        </w:tc>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6E8EFFE4">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编号</w:t>
            </w:r>
          </w:p>
        </w:tc>
        <w:tc>
          <w:tcPr>
            <w:tcW w:w="1577" w:type="dxa"/>
            <w:vMerge w:val="restart"/>
            <w:tcBorders>
              <w:top w:val="single" w:color="000000" w:sz="4" w:space="0"/>
              <w:left w:val="single" w:color="000000" w:sz="4" w:space="0"/>
              <w:bottom w:val="single" w:color="000000" w:sz="4" w:space="0"/>
              <w:right w:val="single" w:color="000000" w:sz="4" w:space="0"/>
            </w:tcBorders>
            <w:vAlign w:val="center"/>
          </w:tcPr>
          <w:p w14:paraId="24C23B45">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防烟区域</w:t>
            </w:r>
          </w:p>
        </w:tc>
        <w:tc>
          <w:tcPr>
            <w:tcW w:w="3046" w:type="dxa"/>
            <w:gridSpan w:val="2"/>
            <w:tcBorders>
              <w:top w:val="single" w:color="000000" w:sz="4" w:space="0"/>
              <w:left w:val="single" w:color="000000" w:sz="4" w:space="0"/>
              <w:bottom w:val="single" w:color="000000" w:sz="4" w:space="0"/>
              <w:right w:val="single" w:color="000000" w:sz="4" w:space="0"/>
            </w:tcBorders>
            <w:vAlign w:val="center"/>
          </w:tcPr>
          <w:p w14:paraId="0584ED84">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服务楼层</w:t>
            </w:r>
          </w:p>
        </w:tc>
        <w:tc>
          <w:tcPr>
            <w:tcW w:w="1391" w:type="dxa"/>
            <w:vMerge w:val="restart"/>
            <w:tcBorders>
              <w:top w:val="single" w:color="000000" w:sz="4" w:space="0"/>
              <w:left w:val="single" w:color="000000" w:sz="4" w:space="0"/>
              <w:bottom w:val="single" w:color="000000" w:sz="4" w:space="0"/>
              <w:right w:val="single" w:color="000000" w:sz="4" w:space="0"/>
            </w:tcBorders>
            <w:vAlign w:val="center"/>
          </w:tcPr>
          <w:p w14:paraId="633A1ACC">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防烟方式</w:t>
            </w:r>
          </w:p>
        </w:tc>
        <w:tc>
          <w:tcPr>
            <w:tcW w:w="925" w:type="dxa"/>
            <w:vMerge w:val="restart"/>
            <w:tcBorders>
              <w:top w:val="single" w:color="000000" w:sz="4" w:space="0"/>
              <w:left w:val="single" w:color="000000" w:sz="4" w:space="0"/>
              <w:bottom w:val="single" w:color="000000" w:sz="4" w:space="0"/>
              <w:right w:val="single" w:color="000000" w:sz="4" w:space="0"/>
            </w:tcBorders>
            <w:vAlign w:val="center"/>
          </w:tcPr>
          <w:p w14:paraId="5438AAA8">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备注</w:t>
            </w:r>
          </w:p>
        </w:tc>
      </w:tr>
      <w:tr w14:paraId="1C572372">
        <w:tblPrEx>
          <w:tblCellMar>
            <w:top w:w="0" w:type="dxa"/>
            <w:left w:w="0" w:type="dxa"/>
            <w:bottom w:w="0" w:type="dxa"/>
            <w:right w:w="0" w:type="dxa"/>
          </w:tblCellMar>
        </w:tblPrEx>
        <w:trPr>
          <w:trHeight w:val="340" w:hRule="atLeast"/>
          <w:jc w:val="center"/>
        </w:trPr>
        <w:tc>
          <w:tcPr>
            <w:tcW w:w="801" w:type="dxa"/>
            <w:vMerge w:val="continue"/>
            <w:tcBorders>
              <w:top w:val="nil"/>
              <w:left w:val="single" w:color="000000" w:sz="4" w:space="0"/>
              <w:bottom w:val="single" w:color="000000" w:sz="4" w:space="0"/>
              <w:right w:val="single" w:color="000000" w:sz="4" w:space="0"/>
            </w:tcBorders>
          </w:tcPr>
          <w:p w14:paraId="2F93EF86">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779" w:type="dxa"/>
            <w:vMerge w:val="continue"/>
            <w:tcBorders>
              <w:top w:val="nil"/>
              <w:left w:val="single" w:color="000000" w:sz="4" w:space="0"/>
              <w:bottom w:val="single" w:color="000000" w:sz="4" w:space="0"/>
              <w:right w:val="single" w:color="000000" w:sz="4" w:space="0"/>
            </w:tcBorders>
          </w:tcPr>
          <w:p w14:paraId="3357250F">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1577" w:type="dxa"/>
            <w:vMerge w:val="continue"/>
            <w:tcBorders>
              <w:top w:val="nil"/>
              <w:left w:val="single" w:color="000000" w:sz="4" w:space="0"/>
              <w:bottom w:val="single" w:color="000000" w:sz="4" w:space="0"/>
              <w:right w:val="single" w:color="000000" w:sz="4" w:space="0"/>
            </w:tcBorders>
          </w:tcPr>
          <w:p w14:paraId="19303C5B">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1478" w:type="dxa"/>
            <w:tcBorders>
              <w:top w:val="single" w:color="000000" w:sz="4" w:space="0"/>
              <w:left w:val="single" w:color="000000" w:sz="4" w:space="0"/>
              <w:bottom w:val="single" w:color="000000" w:sz="4" w:space="0"/>
              <w:right w:val="single" w:color="000000" w:sz="4" w:space="0"/>
            </w:tcBorders>
          </w:tcPr>
          <w:p w14:paraId="191D0586">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楼层</w:t>
            </w:r>
          </w:p>
        </w:tc>
        <w:tc>
          <w:tcPr>
            <w:tcW w:w="1568" w:type="dxa"/>
            <w:tcBorders>
              <w:top w:val="single" w:color="000000" w:sz="4" w:space="0"/>
              <w:left w:val="single" w:color="000000" w:sz="4" w:space="0"/>
              <w:bottom w:val="single" w:color="000000" w:sz="4" w:space="0"/>
              <w:right w:val="single" w:color="000000" w:sz="4" w:space="0"/>
            </w:tcBorders>
          </w:tcPr>
          <w:p w14:paraId="2DF3F709">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高度</w:t>
            </w:r>
          </w:p>
        </w:tc>
        <w:tc>
          <w:tcPr>
            <w:tcW w:w="1391" w:type="dxa"/>
            <w:vMerge w:val="continue"/>
            <w:tcBorders>
              <w:top w:val="nil"/>
              <w:left w:val="single" w:color="000000" w:sz="4" w:space="0"/>
              <w:bottom w:val="single" w:color="000000" w:sz="4" w:space="0"/>
              <w:right w:val="single" w:color="000000" w:sz="4" w:space="0"/>
            </w:tcBorders>
          </w:tcPr>
          <w:p w14:paraId="19CF1037">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925" w:type="dxa"/>
            <w:vMerge w:val="continue"/>
            <w:tcBorders>
              <w:top w:val="nil"/>
              <w:left w:val="single" w:color="000000" w:sz="4" w:space="0"/>
              <w:bottom w:val="single" w:color="000000" w:sz="4" w:space="0"/>
              <w:right w:val="single" w:color="000000" w:sz="4" w:space="0"/>
            </w:tcBorders>
          </w:tcPr>
          <w:p w14:paraId="5C631B38">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r>
      <w:tr w14:paraId="1B734674">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1BA10454">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t>1</w:t>
            </w:r>
          </w:p>
        </w:tc>
        <w:tc>
          <w:tcPr>
            <w:tcW w:w="779" w:type="dxa"/>
            <w:tcBorders>
              <w:top w:val="single" w:color="000000" w:sz="4" w:space="0"/>
              <w:left w:val="single" w:color="000000" w:sz="4" w:space="0"/>
              <w:bottom w:val="single" w:color="000000" w:sz="4" w:space="0"/>
              <w:right w:val="single" w:color="000000" w:sz="4" w:space="0"/>
            </w:tcBorders>
            <w:vAlign w:val="center"/>
          </w:tcPr>
          <w:p w14:paraId="551C5FF0">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577" w:type="dxa"/>
            <w:tcBorders>
              <w:top w:val="single" w:color="000000" w:sz="4" w:space="0"/>
              <w:left w:val="single" w:color="000000" w:sz="4" w:space="0"/>
              <w:bottom w:val="single" w:color="000000" w:sz="4" w:space="0"/>
              <w:right w:val="single" w:color="000000" w:sz="4" w:space="0"/>
            </w:tcBorders>
            <w:vAlign w:val="center"/>
          </w:tcPr>
          <w:p w14:paraId="2A2556FB">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1C7465EB">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68" w:type="dxa"/>
            <w:tcBorders>
              <w:top w:val="single" w:color="000000" w:sz="4" w:space="0"/>
              <w:left w:val="single" w:color="000000" w:sz="4" w:space="0"/>
              <w:bottom w:val="single" w:color="000000" w:sz="4" w:space="0"/>
              <w:right w:val="single" w:color="000000" w:sz="4" w:space="0"/>
            </w:tcBorders>
            <w:vAlign w:val="center"/>
          </w:tcPr>
          <w:p w14:paraId="7892E800">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391" w:type="dxa"/>
            <w:tcBorders>
              <w:top w:val="single" w:color="000000" w:sz="4" w:space="0"/>
              <w:left w:val="single" w:color="000000" w:sz="4" w:space="0"/>
              <w:bottom w:val="single" w:color="000000" w:sz="4" w:space="0"/>
              <w:right w:val="single" w:color="000000" w:sz="4" w:space="0"/>
            </w:tcBorders>
            <w:vAlign w:val="center"/>
          </w:tcPr>
          <w:p w14:paraId="0701509C">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63EAF739">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r w14:paraId="4444914C">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282FF083">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t>2</w:t>
            </w:r>
          </w:p>
        </w:tc>
        <w:tc>
          <w:tcPr>
            <w:tcW w:w="779" w:type="dxa"/>
            <w:tcBorders>
              <w:top w:val="single" w:color="000000" w:sz="4" w:space="0"/>
              <w:left w:val="single" w:color="000000" w:sz="4" w:space="0"/>
              <w:bottom w:val="single" w:color="000000" w:sz="4" w:space="0"/>
              <w:right w:val="single" w:color="000000" w:sz="4" w:space="0"/>
            </w:tcBorders>
            <w:vAlign w:val="center"/>
          </w:tcPr>
          <w:p w14:paraId="4E8D681A">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577" w:type="dxa"/>
            <w:tcBorders>
              <w:top w:val="single" w:color="000000" w:sz="4" w:space="0"/>
              <w:left w:val="single" w:color="000000" w:sz="4" w:space="0"/>
              <w:bottom w:val="single" w:color="000000" w:sz="4" w:space="0"/>
              <w:right w:val="single" w:color="000000" w:sz="4" w:space="0"/>
            </w:tcBorders>
            <w:vAlign w:val="center"/>
          </w:tcPr>
          <w:p w14:paraId="55785A7E">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20D72E12">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68" w:type="dxa"/>
            <w:tcBorders>
              <w:top w:val="single" w:color="000000" w:sz="4" w:space="0"/>
              <w:left w:val="single" w:color="000000" w:sz="4" w:space="0"/>
              <w:bottom w:val="single" w:color="000000" w:sz="4" w:space="0"/>
              <w:right w:val="single" w:color="000000" w:sz="4" w:space="0"/>
            </w:tcBorders>
            <w:vAlign w:val="center"/>
          </w:tcPr>
          <w:p w14:paraId="56040510">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391" w:type="dxa"/>
            <w:tcBorders>
              <w:top w:val="single" w:color="000000" w:sz="4" w:space="0"/>
              <w:left w:val="single" w:color="000000" w:sz="4" w:space="0"/>
              <w:bottom w:val="single" w:color="000000" w:sz="4" w:space="0"/>
              <w:right w:val="single" w:color="000000" w:sz="4" w:space="0"/>
            </w:tcBorders>
            <w:vAlign w:val="center"/>
          </w:tcPr>
          <w:p w14:paraId="3F6B3299">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5448D4D7">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r w14:paraId="65D60D06">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47031C14">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779" w:type="dxa"/>
            <w:tcBorders>
              <w:top w:val="single" w:color="000000" w:sz="4" w:space="0"/>
              <w:left w:val="single" w:color="000000" w:sz="4" w:space="0"/>
              <w:bottom w:val="single" w:color="000000" w:sz="4" w:space="0"/>
              <w:right w:val="single" w:color="000000" w:sz="4" w:space="0"/>
            </w:tcBorders>
            <w:vAlign w:val="center"/>
          </w:tcPr>
          <w:p w14:paraId="67414D1B">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77" w:type="dxa"/>
            <w:tcBorders>
              <w:top w:val="single" w:color="000000" w:sz="4" w:space="0"/>
              <w:left w:val="single" w:color="000000" w:sz="4" w:space="0"/>
              <w:bottom w:val="single" w:color="000000" w:sz="4" w:space="0"/>
              <w:right w:val="single" w:color="000000" w:sz="4" w:space="0"/>
            </w:tcBorders>
            <w:vAlign w:val="center"/>
          </w:tcPr>
          <w:p w14:paraId="39DFCBB8">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24A610ED">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68" w:type="dxa"/>
            <w:tcBorders>
              <w:top w:val="single" w:color="000000" w:sz="4" w:space="0"/>
              <w:left w:val="single" w:color="000000" w:sz="4" w:space="0"/>
              <w:bottom w:val="single" w:color="000000" w:sz="4" w:space="0"/>
              <w:right w:val="single" w:color="000000" w:sz="4" w:space="0"/>
            </w:tcBorders>
            <w:vAlign w:val="center"/>
          </w:tcPr>
          <w:p w14:paraId="776E5C33">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391" w:type="dxa"/>
            <w:tcBorders>
              <w:top w:val="single" w:color="000000" w:sz="4" w:space="0"/>
              <w:left w:val="single" w:color="000000" w:sz="4" w:space="0"/>
              <w:bottom w:val="single" w:color="000000" w:sz="4" w:space="0"/>
              <w:right w:val="single" w:color="000000" w:sz="4" w:space="0"/>
            </w:tcBorders>
            <w:vAlign w:val="center"/>
          </w:tcPr>
          <w:p w14:paraId="13E0BF9E">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925" w:type="dxa"/>
            <w:tcBorders>
              <w:top w:val="single" w:color="000000" w:sz="4" w:space="0"/>
              <w:left w:val="single" w:color="000000" w:sz="4" w:space="0"/>
              <w:bottom w:val="single" w:color="000000" w:sz="4" w:space="0"/>
              <w:right w:val="single" w:color="000000" w:sz="4" w:space="0"/>
            </w:tcBorders>
            <w:vAlign w:val="center"/>
          </w:tcPr>
          <w:p w14:paraId="6B35D096">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bl>
    <w:p w14:paraId="27A4E4F2">
      <w:pPr>
        <w:pStyle w:val="5"/>
        <w:keepNext w:val="0"/>
        <w:keepLines/>
        <w:pageBreakBefore w:val="0"/>
        <w:numPr>
          <w:ilvl w:val="3"/>
          <w:numId w:val="5"/>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4"/>
          <w:szCs w:val="24"/>
          <w14:textFill>
            <w14:solidFill>
              <w14:schemeClr w14:val="tx1">
                <w14:lumMod w14:val="95000"/>
                <w14:lumOff w14:val="5000"/>
              </w14:schemeClr>
            </w14:solidFill>
          </w14:textFill>
        </w:rPr>
        <w:t xml:space="preserve">各区域自然通风可开启外窗面积统计见表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6.2.2.2。</w:t>
      </w:r>
    </w:p>
    <w:p w14:paraId="6522B3FD">
      <w:pPr>
        <w:pStyle w:val="5"/>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pPr>
      <w: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t>表 6.2.2.2 自然通风可开启外窗面积汇总</w:t>
      </w:r>
    </w:p>
    <w:tbl>
      <w:tblPr>
        <w:tblStyle w:val="10"/>
        <w:tblW w:w="0" w:type="auto"/>
        <w:jc w:val="center"/>
        <w:tblLayout w:type="fixed"/>
        <w:tblCellMar>
          <w:top w:w="0" w:type="dxa"/>
          <w:left w:w="0" w:type="dxa"/>
          <w:bottom w:w="0" w:type="dxa"/>
          <w:right w:w="0" w:type="dxa"/>
        </w:tblCellMar>
      </w:tblPr>
      <w:tblGrid>
        <w:gridCol w:w="801"/>
        <w:gridCol w:w="779"/>
        <w:gridCol w:w="1129"/>
        <w:gridCol w:w="1066"/>
        <w:gridCol w:w="1055"/>
        <w:gridCol w:w="2107"/>
        <w:gridCol w:w="1582"/>
      </w:tblGrid>
      <w:tr w14:paraId="0C690208">
        <w:tblPrEx>
          <w:tblCellMar>
            <w:top w:w="0" w:type="dxa"/>
            <w:left w:w="0" w:type="dxa"/>
            <w:bottom w:w="0" w:type="dxa"/>
            <w:right w:w="0" w:type="dxa"/>
          </w:tblCellMar>
        </w:tblPrEx>
        <w:trPr>
          <w:trHeight w:val="340" w:hRule="atLeast"/>
          <w:jc w:val="center"/>
        </w:trPr>
        <w:tc>
          <w:tcPr>
            <w:tcW w:w="801" w:type="dxa"/>
            <w:vMerge w:val="restart"/>
            <w:tcBorders>
              <w:top w:val="single" w:color="000000" w:sz="4" w:space="0"/>
              <w:left w:val="single" w:color="000000" w:sz="4" w:space="0"/>
              <w:bottom w:val="single" w:color="000000" w:sz="4" w:space="0"/>
              <w:right w:val="single" w:color="000000" w:sz="4" w:space="0"/>
            </w:tcBorders>
            <w:vAlign w:val="center"/>
          </w:tcPr>
          <w:p w14:paraId="313813B1">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序号</w:t>
            </w:r>
          </w:p>
        </w:tc>
        <w:tc>
          <w:tcPr>
            <w:tcW w:w="779" w:type="dxa"/>
            <w:vMerge w:val="restart"/>
            <w:tcBorders>
              <w:top w:val="single" w:color="000000" w:sz="4" w:space="0"/>
              <w:left w:val="single" w:color="000000" w:sz="4" w:space="0"/>
              <w:bottom w:val="single" w:color="000000" w:sz="4" w:space="0"/>
              <w:right w:val="single" w:color="000000" w:sz="4" w:space="0"/>
            </w:tcBorders>
            <w:vAlign w:val="center"/>
          </w:tcPr>
          <w:p w14:paraId="47256BD8">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编号</w:t>
            </w:r>
          </w:p>
        </w:tc>
        <w:tc>
          <w:tcPr>
            <w:tcW w:w="1129" w:type="dxa"/>
            <w:vMerge w:val="restart"/>
            <w:tcBorders>
              <w:top w:val="single" w:color="000000" w:sz="4" w:space="0"/>
              <w:left w:val="single" w:color="000000" w:sz="4" w:space="0"/>
              <w:bottom w:val="single" w:color="000000" w:sz="4" w:space="0"/>
              <w:right w:val="single" w:color="000000" w:sz="4" w:space="0"/>
            </w:tcBorders>
            <w:vAlign w:val="center"/>
          </w:tcPr>
          <w:p w14:paraId="1BB1DFAC">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防烟区域</w:t>
            </w:r>
          </w:p>
        </w:tc>
        <w:tc>
          <w:tcPr>
            <w:tcW w:w="2121" w:type="dxa"/>
            <w:gridSpan w:val="2"/>
            <w:tcBorders>
              <w:top w:val="single" w:color="000000" w:sz="4" w:space="0"/>
              <w:left w:val="single" w:color="000000" w:sz="4" w:space="0"/>
              <w:bottom w:val="single" w:color="000000" w:sz="4" w:space="0"/>
              <w:right w:val="single" w:color="000000" w:sz="4" w:space="0"/>
            </w:tcBorders>
            <w:vAlign w:val="center"/>
          </w:tcPr>
          <w:p w14:paraId="3AE6E700">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服务楼层</w:t>
            </w:r>
          </w:p>
        </w:tc>
        <w:tc>
          <w:tcPr>
            <w:tcW w:w="2107" w:type="dxa"/>
            <w:vMerge w:val="restart"/>
            <w:tcBorders>
              <w:top w:val="single" w:color="000000" w:sz="4" w:space="0"/>
              <w:left w:val="single" w:color="000000" w:sz="4" w:space="0"/>
              <w:bottom w:val="single" w:color="000000" w:sz="4" w:space="0"/>
              <w:right w:val="single" w:color="000000" w:sz="4" w:space="0"/>
            </w:tcBorders>
            <w:vAlign w:val="center"/>
          </w:tcPr>
          <w:p w14:paraId="0052DD36">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规范面积（要求开启有效㎡）</w:t>
            </w:r>
          </w:p>
        </w:tc>
        <w:tc>
          <w:tcPr>
            <w:tcW w:w="1582" w:type="dxa"/>
            <w:vMerge w:val="restart"/>
            <w:tcBorders>
              <w:top w:val="single" w:color="000000" w:sz="4" w:space="0"/>
              <w:left w:val="single" w:color="000000" w:sz="4" w:space="0"/>
              <w:bottom w:val="single" w:color="000000" w:sz="4" w:space="0"/>
              <w:right w:val="single" w:color="000000" w:sz="4" w:space="0"/>
            </w:tcBorders>
            <w:vAlign w:val="center"/>
          </w:tcPr>
          <w:p w14:paraId="582882D0">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w w:val="95"/>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实际开启有效面积（㎡）</w:t>
            </w:r>
          </w:p>
        </w:tc>
      </w:tr>
      <w:tr w14:paraId="67AD6E77">
        <w:tblPrEx>
          <w:tblCellMar>
            <w:top w:w="0" w:type="dxa"/>
            <w:left w:w="0" w:type="dxa"/>
            <w:bottom w:w="0" w:type="dxa"/>
            <w:right w:w="0" w:type="dxa"/>
          </w:tblCellMar>
        </w:tblPrEx>
        <w:trPr>
          <w:trHeight w:val="340" w:hRule="atLeast"/>
          <w:jc w:val="center"/>
        </w:trPr>
        <w:tc>
          <w:tcPr>
            <w:tcW w:w="801" w:type="dxa"/>
            <w:vMerge w:val="continue"/>
            <w:tcBorders>
              <w:top w:val="nil"/>
              <w:left w:val="single" w:color="000000" w:sz="4" w:space="0"/>
              <w:bottom w:val="single" w:color="000000" w:sz="4" w:space="0"/>
              <w:right w:val="single" w:color="000000" w:sz="4" w:space="0"/>
            </w:tcBorders>
          </w:tcPr>
          <w:p w14:paraId="6F75F473">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779" w:type="dxa"/>
            <w:vMerge w:val="continue"/>
            <w:tcBorders>
              <w:top w:val="nil"/>
              <w:left w:val="single" w:color="000000" w:sz="4" w:space="0"/>
              <w:bottom w:val="single" w:color="000000" w:sz="4" w:space="0"/>
              <w:right w:val="single" w:color="000000" w:sz="4" w:space="0"/>
            </w:tcBorders>
          </w:tcPr>
          <w:p w14:paraId="4B62A454">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1129" w:type="dxa"/>
            <w:vMerge w:val="continue"/>
            <w:tcBorders>
              <w:top w:val="nil"/>
              <w:left w:val="single" w:color="000000" w:sz="4" w:space="0"/>
              <w:bottom w:val="single" w:color="000000" w:sz="4" w:space="0"/>
              <w:right w:val="single" w:color="000000" w:sz="4" w:space="0"/>
            </w:tcBorders>
          </w:tcPr>
          <w:p w14:paraId="4A306E45">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1066" w:type="dxa"/>
            <w:tcBorders>
              <w:top w:val="single" w:color="000000" w:sz="4" w:space="0"/>
              <w:left w:val="single" w:color="000000" w:sz="4" w:space="0"/>
              <w:bottom w:val="single" w:color="000000" w:sz="4" w:space="0"/>
              <w:right w:val="single" w:color="000000" w:sz="4" w:space="0"/>
            </w:tcBorders>
            <w:vAlign w:val="center"/>
          </w:tcPr>
          <w:p w14:paraId="01F6A148">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楼层</w:t>
            </w:r>
          </w:p>
        </w:tc>
        <w:tc>
          <w:tcPr>
            <w:tcW w:w="1055" w:type="dxa"/>
            <w:tcBorders>
              <w:top w:val="single" w:color="000000" w:sz="4" w:space="0"/>
              <w:left w:val="single" w:color="000000" w:sz="4" w:space="0"/>
              <w:bottom w:val="single" w:color="000000" w:sz="4" w:space="0"/>
              <w:right w:val="single" w:color="000000" w:sz="4" w:space="0"/>
            </w:tcBorders>
            <w:vAlign w:val="center"/>
          </w:tcPr>
          <w:p w14:paraId="175EEBB7">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高度</w:t>
            </w:r>
          </w:p>
        </w:tc>
        <w:tc>
          <w:tcPr>
            <w:tcW w:w="2107" w:type="dxa"/>
            <w:vMerge w:val="continue"/>
            <w:tcBorders>
              <w:top w:val="nil"/>
              <w:left w:val="single" w:color="000000" w:sz="4" w:space="0"/>
              <w:bottom w:val="single" w:color="000000" w:sz="4" w:space="0"/>
              <w:right w:val="single" w:color="000000" w:sz="4" w:space="0"/>
            </w:tcBorders>
          </w:tcPr>
          <w:p w14:paraId="759755FF">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1582" w:type="dxa"/>
            <w:vMerge w:val="continue"/>
            <w:tcBorders>
              <w:top w:val="nil"/>
              <w:left w:val="single" w:color="000000" w:sz="4" w:space="0"/>
              <w:bottom w:val="single" w:color="000000" w:sz="4" w:space="0"/>
              <w:right w:val="single" w:color="000000" w:sz="4" w:space="0"/>
            </w:tcBorders>
          </w:tcPr>
          <w:p w14:paraId="58A2AB91">
            <w:pPr>
              <w:pStyle w:val="5"/>
              <w:keepNext w:val="0"/>
              <w:keepLines/>
              <w:pageBreakBefore w:val="0"/>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r>
      <w:tr w14:paraId="724DC4BF">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053D3EAE">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t>1</w:t>
            </w:r>
          </w:p>
        </w:tc>
        <w:tc>
          <w:tcPr>
            <w:tcW w:w="779" w:type="dxa"/>
            <w:tcBorders>
              <w:top w:val="single" w:color="000000" w:sz="4" w:space="0"/>
              <w:left w:val="single" w:color="000000" w:sz="4" w:space="0"/>
              <w:bottom w:val="single" w:color="000000" w:sz="4" w:space="0"/>
              <w:right w:val="single" w:color="000000" w:sz="4" w:space="0"/>
            </w:tcBorders>
            <w:vAlign w:val="center"/>
          </w:tcPr>
          <w:p w14:paraId="3CF1BE20">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129" w:type="dxa"/>
            <w:tcBorders>
              <w:top w:val="single" w:color="000000" w:sz="4" w:space="0"/>
              <w:left w:val="single" w:color="000000" w:sz="4" w:space="0"/>
              <w:bottom w:val="single" w:color="000000" w:sz="4" w:space="0"/>
              <w:right w:val="single" w:color="000000" w:sz="4" w:space="0"/>
            </w:tcBorders>
            <w:vAlign w:val="center"/>
          </w:tcPr>
          <w:p w14:paraId="3D60C7D9">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66" w:type="dxa"/>
            <w:tcBorders>
              <w:top w:val="single" w:color="000000" w:sz="4" w:space="0"/>
              <w:left w:val="single" w:color="000000" w:sz="4" w:space="0"/>
              <w:bottom w:val="single" w:color="000000" w:sz="4" w:space="0"/>
              <w:right w:val="single" w:color="000000" w:sz="4" w:space="0"/>
            </w:tcBorders>
            <w:vAlign w:val="center"/>
          </w:tcPr>
          <w:p w14:paraId="125DEFD5">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7D1563C4">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2107" w:type="dxa"/>
            <w:tcBorders>
              <w:top w:val="single" w:color="000000" w:sz="4" w:space="0"/>
              <w:left w:val="single" w:color="000000" w:sz="4" w:space="0"/>
              <w:bottom w:val="single" w:color="000000" w:sz="4" w:space="0"/>
              <w:right w:val="single" w:color="000000" w:sz="4" w:space="0"/>
            </w:tcBorders>
            <w:vAlign w:val="center"/>
          </w:tcPr>
          <w:p w14:paraId="38CDB0BA">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82" w:type="dxa"/>
            <w:tcBorders>
              <w:top w:val="single" w:color="000000" w:sz="4" w:space="0"/>
              <w:left w:val="single" w:color="000000" w:sz="4" w:space="0"/>
              <w:bottom w:val="single" w:color="000000" w:sz="4" w:space="0"/>
              <w:right w:val="single" w:color="000000" w:sz="4" w:space="0"/>
            </w:tcBorders>
            <w:vAlign w:val="center"/>
          </w:tcPr>
          <w:p w14:paraId="2CBA5E87">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r w14:paraId="5152D936">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2A7562E5">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w w:val="99"/>
                <w:sz w:val="21"/>
                <w:szCs w:val="21"/>
                <w14:textFill>
                  <w14:solidFill>
                    <w14:schemeClr w14:val="tx1">
                      <w14:lumMod w14:val="95000"/>
                      <w14:lumOff w14:val="5000"/>
                    </w14:schemeClr>
                  </w14:solidFill>
                </w14:textFill>
              </w:rPr>
              <w:t>2</w:t>
            </w:r>
          </w:p>
        </w:tc>
        <w:tc>
          <w:tcPr>
            <w:tcW w:w="779" w:type="dxa"/>
            <w:tcBorders>
              <w:top w:val="single" w:color="000000" w:sz="4" w:space="0"/>
              <w:left w:val="single" w:color="000000" w:sz="4" w:space="0"/>
              <w:bottom w:val="single" w:color="000000" w:sz="4" w:space="0"/>
              <w:right w:val="single" w:color="000000" w:sz="4" w:space="0"/>
            </w:tcBorders>
            <w:vAlign w:val="center"/>
          </w:tcPr>
          <w:p w14:paraId="410F3CA3">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129" w:type="dxa"/>
            <w:tcBorders>
              <w:top w:val="single" w:color="000000" w:sz="4" w:space="0"/>
              <w:left w:val="single" w:color="000000" w:sz="4" w:space="0"/>
              <w:bottom w:val="single" w:color="000000" w:sz="4" w:space="0"/>
              <w:right w:val="single" w:color="000000" w:sz="4" w:space="0"/>
            </w:tcBorders>
            <w:vAlign w:val="center"/>
          </w:tcPr>
          <w:p w14:paraId="7B34A0B5">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66" w:type="dxa"/>
            <w:tcBorders>
              <w:top w:val="single" w:color="000000" w:sz="4" w:space="0"/>
              <w:left w:val="single" w:color="000000" w:sz="4" w:space="0"/>
              <w:bottom w:val="single" w:color="000000" w:sz="4" w:space="0"/>
              <w:right w:val="single" w:color="000000" w:sz="4" w:space="0"/>
            </w:tcBorders>
            <w:vAlign w:val="center"/>
          </w:tcPr>
          <w:p w14:paraId="6E8C9B2E">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2531FBC0">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2107" w:type="dxa"/>
            <w:tcBorders>
              <w:top w:val="single" w:color="000000" w:sz="4" w:space="0"/>
              <w:left w:val="single" w:color="000000" w:sz="4" w:space="0"/>
              <w:bottom w:val="single" w:color="000000" w:sz="4" w:space="0"/>
              <w:right w:val="single" w:color="000000" w:sz="4" w:space="0"/>
            </w:tcBorders>
            <w:vAlign w:val="center"/>
          </w:tcPr>
          <w:p w14:paraId="46B0DB6F">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82" w:type="dxa"/>
            <w:tcBorders>
              <w:top w:val="single" w:color="000000" w:sz="4" w:space="0"/>
              <w:left w:val="single" w:color="000000" w:sz="4" w:space="0"/>
              <w:bottom w:val="single" w:color="000000" w:sz="4" w:space="0"/>
              <w:right w:val="single" w:color="000000" w:sz="4" w:space="0"/>
            </w:tcBorders>
            <w:vAlign w:val="center"/>
          </w:tcPr>
          <w:p w14:paraId="21616E4A">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r w14:paraId="2C07633A">
        <w:tblPrEx>
          <w:tblCellMar>
            <w:top w:w="0" w:type="dxa"/>
            <w:left w:w="0" w:type="dxa"/>
            <w:bottom w:w="0" w:type="dxa"/>
            <w:right w:w="0" w:type="dxa"/>
          </w:tblCellMar>
        </w:tblPrEx>
        <w:trPr>
          <w:trHeight w:val="340" w:hRule="atLeast"/>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4D394ECA">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779" w:type="dxa"/>
            <w:tcBorders>
              <w:top w:val="single" w:color="000000" w:sz="4" w:space="0"/>
              <w:left w:val="single" w:color="000000" w:sz="4" w:space="0"/>
              <w:bottom w:val="single" w:color="000000" w:sz="4" w:space="0"/>
              <w:right w:val="single" w:color="000000" w:sz="4" w:space="0"/>
            </w:tcBorders>
            <w:vAlign w:val="center"/>
          </w:tcPr>
          <w:p w14:paraId="27D40BF1">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129" w:type="dxa"/>
            <w:tcBorders>
              <w:top w:val="single" w:color="000000" w:sz="4" w:space="0"/>
              <w:left w:val="single" w:color="000000" w:sz="4" w:space="0"/>
              <w:bottom w:val="single" w:color="000000" w:sz="4" w:space="0"/>
              <w:right w:val="single" w:color="000000" w:sz="4" w:space="0"/>
            </w:tcBorders>
            <w:vAlign w:val="center"/>
          </w:tcPr>
          <w:p w14:paraId="4E6D0F3D">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66" w:type="dxa"/>
            <w:tcBorders>
              <w:top w:val="single" w:color="000000" w:sz="4" w:space="0"/>
              <w:left w:val="single" w:color="000000" w:sz="4" w:space="0"/>
              <w:bottom w:val="single" w:color="000000" w:sz="4" w:space="0"/>
              <w:right w:val="single" w:color="000000" w:sz="4" w:space="0"/>
            </w:tcBorders>
            <w:vAlign w:val="center"/>
          </w:tcPr>
          <w:p w14:paraId="7E102F4C">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055" w:type="dxa"/>
            <w:tcBorders>
              <w:top w:val="single" w:color="000000" w:sz="4" w:space="0"/>
              <w:left w:val="single" w:color="000000" w:sz="4" w:space="0"/>
              <w:bottom w:val="single" w:color="000000" w:sz="4" w:space="0"/>
              <w:right w:val="single" w:color="000000" w:sz="4" w:space="0"/>
            </w:tcBorders>
            <w:vAlign w:val="center"/>
          </w:tcPr>
          <w:p w14:paraId="0DBF3EAC">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2107" w:type="dxa"/>
            <w:tcBorders>
              <w:top w:val="single" w:color="000000" w:sz="4" w:space="0"/>
              <w:left w:val="single" w:color="000000" w:sz="4" w:space="0"/>
              <w:bottom w:val="single" w:color="000000" w:sz="4" w:space="0"/>
              <w:right w:val="single" w:color="000000" w:sz="4" w:space="0"/>
            </w:tcBorders>
            <w:vAlign w:val="center"/>
          </w:tcPr>
          <w:p w14:paraId="076D6590">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1582" w:type="dxa"/>
            <w:tcBorders>
              <w:top w:val="single" w:color="000000" w:sz="4" w:space="0"/>
              <w:left w:val="single" w:color="000000" w:sz="4" w:space="0"/>
              <w:bottom w:val="single" w:color="000000" w:sz="4" w:space="0"/>
              <w:right w:val="single" w:color="000000" w:sz="4" w:space="0"/>
            </w:tcBorders>
            <w:vAlign w:val="center"/>
          </w:tcPr>
          <w:p w14:paraId="51975E7C">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r>
    </w:tbl>
    <w:p w14:paraId="5E04506F">
      <w:pPr>
        <w:pStyle w:val="5"/>
        <w:keepNext w:val="0"/>
        <w:keepLines/>
        <w:pageBreakBefore w:val="0"/>
        <w:numPr>
          <w:ilvl w:val="3"/>
          <w:numId w:val="5"/>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机械加压送风系统的风量按照计算确定，其中系统负担建筑高度大于24m</w:t>
      </w:r>
      <w:r>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t>时，按计算值与规范中规定数值取大值确定，系统设计风量不小于计算风</w:t>
      </w:r>
      <w:r>
        <w:rPr>
          <w:rFonts w:hint="eastAsia" w:ascii="宋体" w:hAnsi="宋体" w:eastAsia="宋体" w:cs="宋体"/>
          <w:color w:val="0D0D0D" w:themeColor="text1" w:themeTint="F2"/>
          <w:spacing w:val="-26"/>
          <w:sz w:val="24"/>
          <w:szCs w:val="24"/>
          <w14:textFill>
            <w14:solidFill>
              <w14:schemeClr w14:val="tx1">
                <w14:lumMod w14:val="95000"/>
                <w14:lumOff w14:val="5000"/>
              </w14:schemeClr>
            </w14:solidFill>
          </w14:textFill>
        </w:rPr>
        <w:t>量的</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1.2</w:t>
      </w:r>
      <w:r>
        <w:rPr>
          <w:rFonts w:hint="eastAsia" w:ascii="宋体" w:hAnsi="宋体" w:eastAsia="宋体" w:cs="宋体"/>
          <w:color w:val="0D0D0D" w:themeColor="text1" w:themeTint="F2"/>
          <w:spacing w:val="-12"/>
          <w:sz w:val="24"/>
          <w:szCs w:val="24"/>
          <w14:textFill>
            <w14:solidFill>
              <w14:schemeClr w14:val="tx1">
                <w14:lumMod w14:val="95000"/>
                <w14:lumOff w14:val="5000"/>
              </w14:schemeClr>
            </w14:solidFill>
          </w14:textFill>
        </w:rPr>
        <w:t xml:space="preserve">倍，各机械加压送风系统风量见表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6.2.2.3。</w:t>
      </w:r>
    </w:p>
    <w:p w14:paraId="7A678225">
      <w:pPr>
        <w:pStyle w:val="5"/>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pPr>
      <w:r>
        <w:rPr>
          <w:rFonts w:hint="eastAsia" w:ascii="宋体" w:hAnsi="宋体" w:eastAsia="宋体" w:cs="宋体"/>
          <w:color w:val="0D0D0D" w:themeColor="text1" w:themeTint="F2"/>
          <w:sz w:val="22"/>
          <w:szCs w:val="22"/>
          <w14:textFill>
            <w14:solidFill>
              <w14:schemeClr w14:val="tx1">
                <w14:lumMod w14:val="95000"/>
                <w14:lumOff w14:val="5000"/>
              </w14:schemeClr>
            </w14:solidFill>
          </w14:textFill>
        </w:rPr>
        <w:t>表 6.2.2.3 机械加压送风量计算汇总</w:t>
      </w:r>
    </w:p>
    <w:tbl>
      <w:tblPr>
        <w:tblStyle w:val="10"/>
        <w:tblW w:w="0" w:type="auto"/>
        <w:jc w:val="center"/>
        <w:tblLayout w:type="fixed"/>
        <w:tblCellMar>
          <w:top w:w="0" w:type="dxa"/>
          <w:left w:w="0" w:type="dxa"/>
          <w:bottom w:w="0" w:type="dxa"/>
          <w:right w:w="0" w:type="dxa"/>
        </w:tblCellMar>
      </w:tblPr>
      <w:tblGrid>
        <w:gridCol w:w="1217"/>
        <w:gridCol w:w="1365"/>
        <w:gridCol w:w="1425"/>
        <w:gridCol w:w="1529"/>
        <w:gridCol w:w="1515"/>
        <w:gridCol w:w="1468"/>
      </w:tblGrid>
      <w:tr w14:paraId="24EEBE80">
        <w:tblPrEx>
          <w:tblCellMar>
            <w:top w:w="0" w:type="dxa"/>
            <w:left w:w="0" w:type="dxa"/>
            <w:bottom w:w="0" w:type="dxa"/>
            <w:right w:w="0" w:type="dxa"/>
          </w:tblCellMar>
        </w:tblPrEx>
        <w:trPr>
          <w:trHeight w:val="623" w:hRule="atLeast"/>
          <w:jc w:val="center"/>
        </w:trPr>
        <w:tc>
          <w:tcPr>
            <w:tcW w:w="1217" w:type="dxa"/>
            <w:tcBorders>
              <w:top w:val="single" w:color="000000" w:sz="4" w:space="0"/>
              <w:left w:val="single" w:color="000000" w:sz="4" w:space="0"/>
              <w:bottom w:val="single" w:color="000000" w:sz="4" w:space="0"/>
              <w:right w:val="single" w:color="000000" w:sz="4" w:space="0"/>
            </w:tcBorders>
          </w:tcPr>
          <w:p w14:paraId="2E12C241">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系统名称</w:t>
            </w:r>
          </w:p>
        </w:tc>
        <w:tc>
          <w:tcPr>
            <w:tcW w:w="1365" w:type="dxa"/>
            <w:tcBorders>
              <w:top w:val="single" w:color="000000" w:sz="4" w:space="0"/>
              <w:left w:val="single" w:color="000000" w:sz="4" w:space="0"/>
              <w:bottom w:val="single" w:color="000000" w:sz="4" w:space="0"/>
              <w:right w:val="single" w:color="000000" w:sz="4" w:space="0"/>
            </w:tcBorders>
          </w:tcPr>
          <w:p w14:paraId="7795A507">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服务区域</w:t>
            </w:r>
          </w:p>
        </w:tc>
        <w:tc>
          <w:tcPr>
            <w:tcW w:w="1425" w:type="dxa"/>
            <w:tcBorders>
              <w:top w:val="single" w:color="000000" w:sz="4" w:space="0"/>
              <w:left w:val="single" w:color="000000" w:sz="4" w:space="0"/>
              <w:bottom w:val="single" w:color="000000" w:sz="4" w:space="0"/>
              <w:right w:val="single" w:color="000000" w:sz="4" w:space="0"/>
            </w:tcBorders>
          </w:tcPr>
          <w:p w14:paraId="698D7B1E">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系统负担高度(m)</w:t>
            </w:r>
          </w:p>
        </w:tc>
        <w:tc>
          <w:tcPr>
            <w:tcW w:w="1529" w:type="dxa"/>
            <w:tcBorders>
              <w:top w:val="single" w:color="000000" w:sz="4" w:space="0"/>
              <w:left w:val="single" w:color="000000" w:sz="4" w:space="0"/>
              <w:bottom w:val="single" w:color="000000" w:sz="4" w:space="0"/>
              <w:right w:val="single" w:color="000000" w:sz="4" w:space="0"/>
            </w:tcBorders>
          </w:tcPr>
          <w:p w14:paraId="7D158439">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系统负担层数</w:t>
            </w:r>
          </w:p>
        </w:tc>
        <w:tc>
          <w:tcPr>
            <w:tcW w:w="1515" w:type="dxa"/>
            <w:tcBorders>
              <w:top w:val="single" w:color="000000" w:sz="4" w:space="0"/>
              <w:left w:val="single" w:color="000000" w:sz="4" w:space="0"/>
              <w:bottom w:val="single" w:color="000000" w:sz="4" w:space="0"/>
              <w:right w:val="single" w:color="000000" w:sz="4" w:space="0"/>
            </w:tcBorders>
          </w:tcPr>
          <w:p w14:paraId="4B4E3DDE">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计算送风量</w:t>
            </w:r>
          </w:p>
          <w:p w14:paraId="7AF7FB69">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(m³/h)</w:t>
            </w:r>
          </w:p>
        </w:tc>
        <w:tc>
          <w:tcPr>
            <w:tcW w:w="1468" w:type="dxa"/>
            <w:tcBorders>
              <w:top w:val="single" w:color="000000" w:sz="4" w:space="0"/>
              <w:left w:val="single" w:color="000000" w:sz="4" w:space="0"/>
              <w:bottom w:val="single" w:color="000000" w:sz="4" w:space="0"/>
              <w:right w:val="single" w:color="000000" w:sz="4" w:space="0"/>
            </w:tcBorders>
          </w:tcPr>
          <w:p w14:paraId="5133C41B">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设计送风量</w:t>
            </w:r>
          </w:p>
          <w:p w14:paraId="4B7EEBD1">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(m³/h)</w:t>
            </w:r>
          </w:p>
        </w:tc>
      </w:tr>
      <w:tr w14:paraId="62F76D03">
        <w:tblPrEx>
          <w:tblCellMar>
            <w:top w:w="0" w:type="dxa"/>
            <w:left w:w="0" w:type="dxa"/>
            <w:bottom w:w="0" w:type="dxa"/>
            <w:right w:w="0" w:type="dxa"/>
          </w:tblCellMar>
        </w:tblPrEx>
        <w:trPr>
          <w:trHeight w:val="340" w:hRule="atLeast"/>
          <w:jc w:val="center"/>
        </w:trPr>
        <w:tc>
          <w:tcPr>
            <w:tcW w:w="1217" w:type="dxa"/>
            <w:tcBorders>
              <w:top w:val="single" w:color="000000" w:sz="4" w:space="0"/>
              <w:left w:val="single" w:color="000000" w:sz="4" w:space="0"/>
              <w:bottom w:val="single" w:color="000000" w:sz="4" w:space="0"/>
              <w:right w:val="single" w:color="000000" w:sz="4" w:space="0"/>
            </w:tcBorders>
            <w:vAlign w:val="center"/>
          </w:tcPr>
          <w:p w14:paraId="4F34D165">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w:t>
            </w:r>
          </w:p>
        </w:tc>
        <w:tc>
          <w:tcPr>
            <w:tcW w:w="1365" w:type="dxa"/>
            <w:tcBorders>
              <w:top w:val="single" w:color="000000" w:sz="4" w:space="0"/>
              <w:left w:val="single" w:color="000000" w:sz="4" w:space="0"/>
              <w:bottom w:val="single" w:color="000000" w:sz="4" w:space="0"/>
              <w:right w:val="single" w:color="000000" w:sz="4" w:space="0"/>
            </w:tcBorders>
            <w:vAlign w:val="center"/>
          </w:tcPr>
          <w:p w14:paraId="5C2D0EEA">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4753DEFF">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29" w:type="dxa"/>
            <w:tcBorders>
              <w:top w:val="single" w:color="000000" w:sz="4" w:space="0"/>
              <w:left w:val="single" w:color="000000" w:sz="4" w:space="0"/>
              <w:bottom w:val="single" w:color="000000" w:sz="4" w:space="0"/>
              <w:right w:val="single" w:color="000000" w:sz="4" w:space="0"/>
            </w:tcBorders>
            <w:vAlign w:val="center"/>
          </w:tcPr>
          <w:p w14:paraId="114121D3">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63DBA099">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8" w:type="dxa"/>
            <w:tcBorders>
              <w:top w:val="single" w:color="000000" w:sz="4" w:space="0"/>
              <w:left w:val="single" w:color="000000" w:sz="4" w:space="0"/>
              <w:bottom w:val="single" w:color="000000" w:sz="4" w:space="0"/>
              <w:right w:val="single" w:color="000000" w:sz="4" w:space="0"/>
            </w:tcBorders>
            <w:vAlign w:val="center"/>
          </w:tcPr>
          <w:p w14:paraId="7F795DFB">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r w14:paraId="6F7F2B36">
        <w:tblPrEx>
          <w:tblCellMar>
            <w:top w:w="0" w:type="dxa"/>
            <w:left w:w="0" w:type="dxa"/>
            <w:bottom w:w="0" w:type="dxa"/>
            <w:right w:w="0" w:type="dxa"/>
          </w:tblCellMar>
        </w:tblPrEx>
        <w:trPr>
          <w:trHeight w:val="340" w:hRule="atLeast"/>
          <w:jc w:val="center"/>
        </w:trPr>
        <w:tc>
          <w:tcPr>
            <w:tcW w:w="1217" w:type="dxa"/>
            <w:tcBorders>
              <w:top w:val="single" w:color="000000" w:sz="4" w:space="0"/>
              <w:left w:val="single" w:color="000000" w:sz="4" w:space="0"/>
              <w:bottom w:val="single" w:color="000000" w:sz="4" w:space="0"/>
              <w:right w:val="single" w:color="000000" w:sz="4" w:space="0"/>
            </w:tcBorders>
            <w:vAlign w:val="center"/>
          </w:tcPr>
          <w:p w14:paraId="572162F2">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w:t>
            </w:r>
          </w:p>
        </w:tc>
        <w:tc>
          <w:tcPr>
            <w:tcW w:w="1365" w:type="dxa"/>
            <w:tcBorders>
              <w:top w:val="single" w:color="000000" w:sz="4" w:space="0"/>
              <w:left w:val="single" w:color="000000" w:sz="4" w:space="0"/>
              <w:bottom w:val="single" w:color="000000" w:sz="4" w:space="0"/>
              <w:right w:val="single" w:color="000000" w:sz="4" w:space="0"/>
            </w:tcBorders>
            <w:vAlign w:val="center"/>
          </w:tcPr>
          <w:p w14:paraId="42918186">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773D689E">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29" w:type="dxa"/>
            <w:tcBorders>
              <w:top w:val="single" w:color="000000" w:sz="4" w:space="0"/>
              <w:left w:val="single" w:color="000000" w:sz="4" w:space="0"/>
              <w:bottom w:val="single" w:color="000000" w:sz="4" w:space="0"/>
              <w:right w:val="single" w:color="000000" w:sz="4" w:space="0"/>
            </w:tcBorders>
            <w:vAlign w:val="center"/>
          </w:tcPr>
          <w:p w14:paraId="7710D5A0">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022CDB5C">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8" w:type="dxa"/>
            <w:tcBorders>
              <w:top w:val="single" w:color="000000" w:sz="4" w:space="0"/>
              <w:left w:val="single" w:color="000000" w:sz="4" w:space="0"/>
              <w:bottom w:val="single" w:color="000000" w:sz="4" w:space="0"/>
              <w:right w:val="single" w:color="000000" w:sz="4" w:space="0"/>
            </w:tcBorders>
            <w:vAlign w:val="center"/>
          </w:tcPr>
          <w:p w14:paraId="028A3DBF">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r w14:paraId="1ACEE98D">
        <w:tblPrEx>
          <w:tblCellMar>
            <w:top w:w="0" w:type="dxa"/>
            <w:left w:w="0" w:type="dxa"/>
            <w:bottom w:w="0" w:type="dxa"/>
            <w:right w:w="0" w:type="dxa"/>
          </w:tblCellMar>
        </w:tblPrEx>
        <w:trPr>
          <w:trHeight w:val="340" w:hRule="atLeast"/>
          <w:jc w:val="center"/>
        </w:trPr>
        <w:tc>
          <w:tcPr>
            <w:tcW w:w="1217" w:type="dxa"/>
            <w:tcBorders>
              <w:top w:val="single" w:color="000000" w:sz="4" w:space="0"/>
              <w:left w:val="single" w:color="000000" w:sz="4" w:space="0"/>
              <w:bottom w:val="single" w:color="000000" w:sz="4" w:space="0"/>
              <w:right w:val="single" w:color="000000" w:sz="4" w:space="0"/>
            </w:tcBorders>
            <w:vAlign w:val="center"/>
          </w:tcPr>
          <w:p w14:paraId="544E5989">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w:t>
            </w:r>
          </w:p>
        </w:tc>
        <w:tc>
          <w:tcPr>
            <w:tcW w:w="1365" w:type="dxa"/>
            <w:tcBorders>
              <w:top w:val="single" w:color="000000" w:sz="4" w:space="0"/>
              <w:left w:val="single" w:color="000000" w:sz="4" w:space="0"/>
              <w:bottom w:val="single" w:color="000000" w:sz="4" w:space="0"/>
              <w:right w:val="single" w:color="000000" w:sz="4" w:space="0"/>
            </w:tcBorders>
            <w:vAlign w:val="center"/>
          </w:tcPr>
          <w:p w14:paraId="173B8D41">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47FA3DA5">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29" w:type="dxa"/>
            <w:tcBorders>
              <w:top w:val="single" w:color="000000" w:sz="4" w:space="0"/>
              <w:left w:val="single" w:color="000000" w:sz="4" w:space="0"/>
              <w:bottom w:val="single" w:color="000000" w:sz="4" w:space="0"/>
              <w:right w:val="single" w:color="000000" w:sz="4" w:space="0"/>
            </w:tcBorders>
            <w:vAlign w:val="center"/>
          </w:tcPr>
          <w:p w14:paraId="5B91679E">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26761D98">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8" w:type="dxa"/>
            <w:tcBorders>
              <w:top w:val="single" w:color="000000" w:sz="4" w:space="0"/>
              <w:left w:val="single" w:color="000000" w:sz="4" w:space="0"/>
              <w:bottom w:val="single" w:color="000000" w:sz="4" w:space="0"/>
              <w:right w:val="single" w:color="000000" w:sz="4" w:space="0"/>
            </w:tcBorders>
            <w:vAlign w:val="center"/>
          </w:tcPr>
          <w:p w14:paraId="3A34221A">
            <w:pPr>
              <w:pStyle w:val="17"/>
              <w:keepNext w:val="0"/>
              <w:keepLines/>
              <w:pageBreakBefore w:val="0"/>
              <w:kinsoku w:val="0"/>
              <w:wordWrap/>
              <w:overflowPunct w:val="0"/>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bl>
    <w:p w14:paraId="66D8937F">
      <w:pPr>
        <w:pStyle w:val="5"/>
        <w:keepNext w:val="0"/>
        <w:keepLines/>
        <w:pageBreakBefore w:val="0"/>
        <w:numPr>
          <w:ilvl w:val="3"/>
          <w:numId w:val="5"/>
        </w:numPr>
        <w:tabs>
          <w:tab w:val="left" w:pos="851"/>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t>楼梯间固定窗</w:t>
      </w:r>
    </w:p>
    <w:p w14:paraId="5EEDE640">
      <w:pPr>
        <w:pStyle w:val="5"/>
        <w:keepNext w:val="0"/>
        <w:keepLines/>
        <w:pageBreakBefore w:val="0"/>
        <w:kinsoku w:val="0"/>
        <w:wordWrap/>
        <w:overflowPunct w:val="0"/>
        <w:topLinePunct w:val="0"/>
        <w:bidi w:val="0"/>
        <w:spacing w:line="288" w:lineRule="auto"/>
        <w:ind w:left="0" w:leftChars="0" w:right="0" w:rightChars="0" w:firstLine="448" w:firstLineChars="200"/>
        <w:jc w:val="left"/>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t>本工程设置机械加压送风系统的封闭楼梯间、防烟楼梯间，在其顶部设置不小于1㎡的固定窗；靠外墙的防烟楼梯间，外墙上每5层内设置总面积不小于2㎡的固定窗。楼梯间固定窗的设置情况见表6.2.2.4。</w:t>
      </w:r>
    </w:p>
    <w:p w14:paraId="08F4B23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sz w:val="22"/>
          <w:szCs w:val="22"/>
          <w:lang w:val="en-US" w:eastAsia="zh-CN" w:bidi="ar-SA"/>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sz w:val="22"/>
          <w:szCs w:val="22"/>
          <w:lang w:val="en-US" w:eastAsia="zh-CN" w:bidi="ar-SA"/>
          <w14:textFill>
            <w14:solidFill>
              <w14:schemeClr w14:val="tx1">
                <w14:lumMod w14:val="95000"/>
                <w14:lumOff w14:val="5000"/>
              </w14:schemeClr>
            </w14:solidFill>
          </w14:textFill>
        </w:rPr>
        <w:t>6.2.2.4 楼梯间固定窗</w:t>
      </w:r>
    </w:p>
    <w:tbl>
      <w:tblPr>
        <w:tblStyle w:val="10"/>
        <w:tblW w:w="8694" w:type="dxa"/>
        <w:jc w:val="center"/>
        <w:tblLayout w:type="fixed"/>
        <w:tblCellMar>
          <w:top w:w="0" w:type="dxa"/>
          <w:left w:w="0" w:type="dxa"/>
          <w:bottom w:w="0" w:type="dxa"/>
          <w:right w:w="0" w:type="dxa"/>
        </w:tblCellMar>
      </w:tblPr>
      <w:tblGrid>
        <w:gridCol w:w="716"/>
        <w:gridCol w:w="1457"/>
        <w:gridCol w:w="1134"/>
        <w:gridCol w:w="951"/>
        <w:gridCol w:w="1683"/>
        <w:gridCol w:w="1460"/>
        <w:gridCol w:w="1293"/>
      </w:tblGrid>
      <w:tr w14:paraId="706B50EB">
        <w:tblPrEx>
          <w:tblCellMar>
            <w:top w:w="0" w:type="dxa"/>
            <w:left w:w="0" w:type="dxa"/>
            <w:bottom w:w="0" w:type="dxa"/>
            <w:right w:w="0" w:type="dxa"/>
          </w:tblCellMar>
        </w:tblPrEx>
        <w:trPr>
          <w:trHeight w:val="397" w:hRule="atLeast"/>
          <w:jc w:val="center"/>
        </w:trPr>
        <w:tc>
          <w:tcPr>
            <w:tcW w:w="716" w:type="dxa"/>
            <w:tcBorders>
              <w:top w:val="single" w:color="000000" w:sz="2" w:space="0"/>
              <w:left w:val="single" w:color="000000" w:sz="2" w:space="0"/>
              <w:bottom w:val="single" w:color="000000" w:sz="2" w:space="0"/>
              <w:right w:val="single" w:color="000000" w:sz="2" w:space="0"/>
            </w:tcBorders>
            <w:vAlign w:val="center"/>
          </w:tcPr>
          <w:p w14:paraId="20CD7338">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编号</w:t>
            </w:r>
          </w:p>
        </w:tc>
        <w:tc>
          <w:tcPr>
            <w:tcW w:w="1457" w:type="dxa"/>
            <w:tcBorders>
              <w:top w:val="single" w:color="000000" w:sz="2" w:space="0"/>
              <w:left w:val="single" w:color="000000" w:sz="2" w:space="0"/>
              <w:bottom w:val="single" w:color="000000" w:sz="2" w:space="0"/>
              <w:right w:val="single" w:color="000000" w:sz="2" w:space="0"/>
            </w:tcBorders>
            <w:vAlign w:val="center"/>
          </w:tcPr>
          <w:p w14:paraId="05FA1ADB">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楼梯间形式</w:t>
            </w:r>
          </w:p>
        </w:tc>
        <w:tc>
          <w:tcPr>
            <w:tcW w:w="1134" w:type="dxa"/>
            <w:tcBorders>
              <w:top w:val="single" w:color="000000" w:sz="2" w:space="0"/>
              <w:left w:val="single" w:color="000000" w:sz="2" w:space="0"/>
              <w:bottom w:val="single" w:color="000000" w:sz="2" w:space="0"/>
              <w:right w:val="single" w:color="000000" w:sz="2" w:space="0"/>
            </w:tcBorders>
            <w:vAlign w:val="center"/>
          </w:tcPr>
          <w:p w14:paraId="03FCDA8A">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服务楼层</w:t>
            </w:r>
          </w:p>
        </w:tc>
        <w:tc>
          <w:tcPr>
            <w:tcW w:w="951" w:type="dxa"/>
            <w:tcBorders>
              <w:top w:val="single" w:color="000000" w:sz="2" w:space="0"/>
              <w:left w:val="single" w:color="000000" w:sz="2" w:space="0"/>
              <w:bottom w:val="single" w:color="000000" w:sz="2" w:space="0"/>
              <w:right w:val="single" w:color="000000" w:sz="2" w:space="0"/>
            </w:tcBorders>
            <w:vAlign w:val="center"/>
          </w:tcPr>
          <w:p w14:paraId="46106660">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服务楼层高度（m）</w:t>
            </w:r>
          </w:p>
        </w:tc>
        <w:tc>
          <w:tcPr>
            <w:tcW w:w="1683" w:type="dxa"/>
            <w:tcBorders>
              <w:top w:val="single" w:color="000000" w:sz="2" w:space="0"/>
              <w:left w:val="single" w:color="000000" w:sz="2" w:space="0"/>
              <w:bottom w:val="single" w:color="000000" w:sz="2" w:space="0"/>
              <w:right w:val="single" w:color="000000" w:sz="2" w:space="0"/>
            </w:tcBorders>
            <w:vAlign w:val="center"/>
          </w:tcPr>
          <w:p w14:paraId="1732D892">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外墙固定窗</w:t>
            </w:r>
          </w:p>
          <w:p w14:paraId="6BAA03A7">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有效面积（㎡）</w:t>
            </w:r>
          </w:p>
        </w:tc>
        <w:tc>
          <w:tcPr>
            <w:tcW w:w="1460" w:type="dxa"/>
            <w:tcBorders>
              <w:top w:val="single" w:color="000000" w:sz="2" w:space="0"/>
              <w:left w:val="single" w:color="000000" w:sz="2" w:space="0"/>
              <w:bottom w:val="single" w:color="000000" w:sz="2" w:space="0"/>
              <w:right w:val="single" w:color="000000" w:sz="2" w:space="0"/>
            </w:tcBorders>
            <w:vAlign w:val="center"/>
          </w:tcPr>
          <w:p w14:paraId="6EB0CC33">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顶部固定窗有效面积（㎡）</w:t>
            </w:r>
          </w:p>
        </w:tc>
        <w:tc>
          <w:tcPr>
            <w:tcW w:w="1293" w:type="dxa"/>
            <w:tcBorders>
              <w:top w:val="single" w:color="000000" w:sz="2" w:space="0"/>
              <w:left w:val="single" w:color="000000" w:sz="2" w:space="0"/>
              <w:bottom w:val="single" w:color="000000" w:sz="2" w:space="0"/>
              <w:right w:val="single" w:color="000000" w:sz="2" w:space="0"/>
            </w:tcBorders>
            <w:vAlign w:val="center"/>
          </w:tcPr>
          <w:p w14:paraId="162C7267">
            <w:pPr>
              <w:pStyle w:val="17"/>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备注</w:t>
            </w:r>
          </w:p>
        </w:tc>
      </w:tr>
      <w:tr w14:paraId="151331D2">
        <w:tblPrEx>
          <w:tblCellMar>
            <w:top w:w="0" w:type="dxa"/>
            <w:left w:w="0" w:type="dxa"/>
            <w:bottom w:w="0" w:type="dxa"/>
            <w:right w:w="0" w:type="dxa"/>
          </w:tblCellMar>
        </w:tblPrEx>
        <w:trPr>
          <w:trHeight w:val="397" w:hRule="atLeast"/>
          <w:jc w:val="center"/>
        </w:trPr>
        <w:tc>
          <w:tcPr>
            <w:tcW w:w="716" w:type="dxa"/>
            <w:tcBorders>
              <w:top w:val="single" w:color="000000" w:sz="2" w:space="0"/>
              <w:left w:val="single" w:color="000000" w:sz="2" w:space="0"/>
              <w:bottom w:val="single" w:color="000000" w:sz="2" w:space="0"/>
              <w:right w:val="single" w:color="000000" w:sz="2" w:space="0"/>
            </w:tcBorders>
            <w:vAlign w:val="center"/>
          </w:tcPr>
          <w:p w14:paraId="057CA21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w:t>
            </w:r>
          </w:p>
        </w:tc>
        <w:tc>
          <w:tcPr>
            <w:tcW w:w="1457" w:type="dxa"/>
            <w:tcBorders>
              <w:top w:val="single" w:color="000000" w:sz="2" w:space="0"/>
              <w:left w:val="single" w:color="000000" w:sz="2" w:space="0"/>
              <w:bottom w:val="single" w:color="000000" w:sz="2" w:space="0"/>
              <w:right w:val="single" w:color="000000" w:sz="2" w:space="0"/>
            </w:tcBorders>
            <w:vAlign w:val="center"/>
          </w:tcPr>
          <w:p w14:paraId="3BAE9B1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46D9FFF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951" w:type="dxa"/>
            <w:tcBorders>
              <w:top w:val="single" w:color="000000" w:sz="2" w:space="0"/>
              <w:left w:val="single" w:color="000000" w:sz="2" w:space="0"/>
              <w:bottom w:val="single" w:color="000000" w:sz="2" w:space="0"/>
              <w:right w:val="single" w:color="000000" w:sz="2" w:space="0"/>
            </w:tcBorders>
            <w:vAlign w:val="center"/>
          </w:tcPr>
          <w:p w14:paraId="3995CE5D">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683" w:type="dxa"/>
            <w:tcBorders>
              <w:top w:val="single" w:color="000000" w:sz="2" w:space="0"/>
              <w:left w:val="single" w:color="000000" w:sz="2" w:space="0"/>
              <w:bottom w:val="single" w:color="000000" w:sz="2" w:space="0"/>
              <w:right w:val="single" w:color="000000" w:sz="2" w:space="0"/>
            </w:tcBorders>
            <w:vAlign w:val="center"/>
          </w:tcPr>
          <w:p w14:paraId="38927519">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0" w:type="dxa"/>
            <w:tcBorders>
              <w:top w:val="single" w:color="000000" w:sz="2" w:space="0"/>
              <w:left w:val="single" w:color="000000" w:sz="2" w:space="0"/>
              <w:bottom w:val="single" w:color="000000" w:sz="2" w:space="0"/>
              <w:right w:val="single" w:color="000000" w:sz="2" w:space="0"/>
            </w:tcBorders>
            <w:vAlign w:val="center"/>
          </w:tcPr>
          <w:p w14:paraId="1C6FD51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293" w:type="dxa"/>
            <w:tcBorders>
              <w:top w:val="single" w:color="000000" w:sz="2" w:space="0"/>
              <w:left w:val="single" w:color="000000" w:sz="2" w:space="0"/>
              <w:bottom w:val="single" w:color="000000" w:sz="2" w:space="0"/>
              <w:right w:val="single" w:color="000000" w:sz="2" w:space="0"/>
            </w:tcBorders>
            <w:vAlign w:val="center"/>
          </w:tcPr>
          <w:p w14:paraId="2A66D597">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r w14:paraId="31C384DA">
        <w:tblPrEx>
          <w:tblCellMar>
            <w:top w:w="0" w:type="dxa"/>
            <w:left w:w="0" w:type="dxa"/>
            <w:bottom w:w="0" w:type="dxa"/>
            <w:right w:w="0" w:type="dxa"/>
          </w:tblCellMar>
        </w:tblPrEx>
        <w:trPr>
          <w:trHeight w:val="397" w:hRule="atLeast"/>
          <w:jc w:val="center"/>
        </w:trPr>
        <w:tc>
          <w:tcPr>
            <w:tcW w:w="716" w:type="dxa"/>
            <w:tcBorders>
              <w:top w:val="single" w:color="000000" w:sz="2" w:space="0"/>
              <w:left w:val="single" w:color="000000" w:sz="2" w:space="0"/>
              <w:bottom w:val="single" w:color="000000" w:sz="2" w:space="0"/>
              <w:right w:val="single" w:color="000000" w:sz="2" w:space="0"/>
            </w:tcBorders>
            <w:vAlign w:val="center"/>
          </w:tcPr>
          <w:p w14:paraId="36D4C84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w:t>
            </w:r>
          </w:p>
        </w:tc>
        <w:tc>
          <w:tcPr>
            <w:tcW w:w="1457" w:type="dxa"/>
            <w:tcBorders>
              <w:top w:val="single" w:color="000000" w:sz="2" w:space="0"/>
              <w:left w:val="single" w:color="000000" w:sz="2" w:space="0"/>
              <w:bottom w:val="single" w:color="000000" w:sz="2" w:space="0"/>
              <w:right w:val="single" w:color="000000" w:sz="2" w:space="0"/>
            </w:tcBorders>
            <w:vAlign w:val="center"/>
          </w:tcPr>
          <w:p w14:paraId="0BAC40C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3A415CE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951" w:type="dxa"/>
            <w:tcBorders>
              <w:top w:val="single" w:color="000000" w:sz="2" w:space="0"/>
              <w:left w:val="single" w:color="000000" w:sz="2" w:space="0"/>
              <w:bottom w:val="single" w:color="000000" w:sz="2" w:space="0"/>
              <w:right w:val="single" w:color="000000" w:sz="2" w:space="0"/>
            </w:tcBorders>
            <w:vAlign w:val="center"/>
          </w:tcPr>
          <w:p w14:paraId="448841E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683" w:type="dxa"/>
            <w:tcBorders>
              <w:top w:val="single" w:color="000000" w:sz="2" w:space="0"/>
              <w:left w:val="single" w:color="000000" w:sz="2" w:space="0"/>
              <w:bottom w:val="single" w:color="000000" w:sz="2" w:space="0"/>
              <w:right w:val="single" w:color="000000" w:sz="2" w:space="0"/>
            </w:tcBorders>
            <w:vAlign w:val="center"/>
          </w:tcPr>
          <w:p w14:paraId="5D34ED9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0" w:type="dxa"/>
            <w:tcBorders>
              <w:top w:val="single" w:color="000000" w:sz="2" w:space="0"/>
              <w:left w:val="single" w:color="000000" w:sz="2" w:space="0"/>
              <w:bottom w:val="single" w:color="000000" w:sz="2" w:space="0"/>
              <w:right w:val="single" w:color="000000" w:sz="2" w:space="0"/>
            </w:tcBorders>
            <w:vAlign w:val="center"/>
          </w:tcPr>
          <w:p w14:paraId="3588958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293" w:type="dxa"/>
            <w:tcBorders>
              <w:top w:val="single" w:color="000000" w:sz="2" w:space="0"/>
              <w:left w:val="single" w:color="000000" w:sz="2" w:space="0"/>
              <w:bottom w:val="single" w:color="000000" w:sz="2" w:space="0"/>
              <w:right w:val="single" w:color="000000" w:sz="2" w:space="0"/>
            </w:tcBorders>
            <w:vAlign w:val="center"/>
          </w:tcPr>
          <w:p w14:paraId="78FD78A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r w14:paraId="7A969321">
        <w:tblPrEx>
          <w:tblCellMar>
            <w:top w:w="0" w:type="dxa"/>
            <w:left w:w="0" w:type="dxa"/>
            <w:bottom w:w="0" w:type="dxa"/>
            <w:right w:w="0" w:type="dxa"/>
          </w:tblCellMar>
        </w:tblPrEx>
        <w:trPr>
          <w:trHeight w:val="397" w:hRule="atLeast"/>
          <w:jc w:val="center"/>
        </w:trPr>
        <w:tc>
          <w:tcPr>
            <w:tcW w:w="716" w:type="dxa"/>
            <w:tcBorders>
              <w:top w:val="single" w:color="000000" w:sz="2" w:space="0"/>
              <w:left w:val="single" w:color="000000" w:sz="2" w:space="0"/>
              <w:bottom w:val="single" w:color="000000" w:sz="2" w:space="0"/>
              <w:right w:val="single" w:color="000000" w:sz="2" w:space="0"/>
            </w:tcBorders>
            <w:vAlign w:val="center"/>
          </w:tcPr>
          <w:p w14:paraId="46CA124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29"/>
                <w:sz w:val="24"/>
                <w:szCs w:val="24"/>
                <w14:textFill>
                  <w14:solidFill>
                    <w14:schemeClr w14:val="tx1">
                      <w14:lumMod w14:val="95000"/>
                      <w14:lumOff w14:val="5000"/>
                    </w14:schemeClr>
                  </w14:solidFill>
                </w14:textFill>
              </w:rPr>
              <w:t>……</w:t>
            </w:r>
          </w:p>
        </w:tc>
        <w:tc>
          <w:tcPr>
            <w:tcW w:w="1457" w:type="dxa"/>
            <w:tcBorders>
              <w:top w:val="single" w:color="000000" w:sz="2" w:space="0"/>
              <w:left w:val="single" w:color="000000" w:sz="2" w:space="0"/>
              <w:bottom w:val="single" w:color="000000" w:sz="2" w:space="0"/>
              <w:right w:val="single" w:color="000000" w:sz="2" w:space="0"/>
            </w:tcBorders>
            <w:vAlign w:val="center"/>
          </w:tcPr>
          <w:p w14:paraId="6B1C1122">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1D43849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951" w:type="dxa"/>
            <w:tcBorders>
              <w:top w:val="single" w:color="000000" w:sz="2" w:space="0"/>
              <w:left w:val="single" w:color="000000" w:sz="2" w:space="0"/>
              <w:bottom w:val="single" w:color="000000" w:sz="2" w:space="0"/>
              <w:right w:val="single" w:color="000000" w:sz="2" w:space="0"/>
            </w:tcBorders>
            <w:vAlign w:val="center"/>
          </w:tcPr>
          <w:p w14:paraId="6FE49674">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683" w:type="dxa"/>
            <w:tcBorders>
              <w:top w:val="single" w:color="000000" w:sz="2" w:space="0"/>
              <w:left w:val="single" w:color="000000" w:sz="2" w:space="0"/>
              <w:bottom w:val="single" w:color="000000" w:sz="2" w:space="0"/>
              <w:right w:val="single" w:color="000000" w:sz="2" w:space="0"/>
            </w:tcBorders>
            <w:vAlign w:val="center"/>
          </w:tcPr>
          <w:p w14:paraId="44EFBB2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460" w:type="dxa"/>
            <w:tcBorders>
              <w:top w:val="single" w:color="000000" w:sz="2" w:space="0"/>
              <w:left w:val="single" w:color="000000" w:sz="2" w:space="0"/>
              <w:bottom w:val="single" w:color="000000" w:sz="2" w:space="0"/>
              <w:right w:val="single" w:color="000000" w:sz="2" w:space="0"/>
            </w:tcBorders>
            <w:vAlign w:val="center"/>
          </w:tcPr>
          <w:p w14:paraId="14CEF83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c>
          <w:tcPr>
            <w:tcW w:w="1293" w:type="dxa"/>
            <w:tcBorders>
              <w:top w:val="single" w:color="000000" w:sz="2" w:space="0"/>
              <w:left w:val="single" w:color="000000" w:sz="2" w:space="0"/>
              <w:bottom w:val="single" w:color="000000" w:sz="2" w:space="0"/>
              <w:right w:val="single" w:color="000000" w:sz="2" w:space="0"/>
            </w:tcBorders>
            <w:vAlign w:val="center"/>
          </w:tcPr>
          <w:p w14:paraId="776D969E">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tc>
      </w:tr>
    </w:tbl>
    <w:p w14:paraId="69F5B46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注</w:t>
      </w:r>
      <w:r>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表</w:t>
      </w:r>
      <w:r>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t>中</w:t>
      </w: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楼</w:t>
      </w:r>
      <w:r>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t>梯</w:t>
      </w: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间每5</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层</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外</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墙</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固</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定</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窗</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有</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效</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面</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积</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取</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最</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不</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利</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楼</w:t>
      </w:r>
      <w:r>
        <w:rPr>
          <w:rFonts w:hint="eastAsia" w:ascii="宋体" w:hAnsi="宋体" w:eastAsia="宋体" w:cs="宋体"/>
          <w:color w:val="0D0D0D" w:themeColor="text1" w:themeTint="F2"/>
          <w:spacing w:val="2"/>
          <w:w w:val="101"/>
          <w:sz w:val="21"/>
          <w:szCs w:val="21"/>
          <w14:textFill>
            <w14:solidFill>
              <w14:schemeClr w14:val="tx1">
                <w14:lumMod w14:val="95000"/>
                <w14:lumOff w14:val="5000"/>
              </w14:schemeClr>
            </w14:solidFill>
          </w14:textFill>
        </w:rPr>
        <w:t>层</w:t>
      </w:r>
      <w:r>
        <w:rPr>
          <w:rFonts w:hint="eastAsia" w:ascii="宋体" w:hAnsi="宋体" w:eastAsia="宋体" w:cs="宋体"/>
          <w:color w:val="0D0D0D" w:themeColor="text1" w:themeTint="F2"/>
          <w:w w:val="101"/>
          <w:sz w:val="21"/>
          <w:szCs w:val="21"/>
          <w14:textFill>
            <w14:solidFill>
              <w14:schemeClr w14:val="tx1">
                <w14:lumMod w14:val="95000"/>
                <w14:lumOff w14:val="5000"/>
              </w14:schemeClr>
            </w14:solidFill>
          </w14:textFill>
        </w:rPr>
        <w:t>。</w:t>
      </w:r>
    </w:p>
    <w:p w14:paraId="1D3B37BB">
      <w:pPr>
        <w:pStyle w:val="16"/>
        <w:keepNext w:val="0"/>
        <w:keepLines/>
        <w:pageBreakBefore w:val="0"/>
        <w:numPr>
          <w:ilvl w:val="0"/>
          <w:numId w:val="3"/>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防烟做法</w:t>
      </w:r>
    </w:p>
    <w:p w14:paraId="039121D1">
      <w:pPr>
        <w:pStyle w:val="5"/>
        <w:keepNext w:val="0"/>
        <w:keepLines/>
        <w:pageBreakBefore w:val="0"/>
        <w:numPr>
          <w:ilvl w:val="3"/>
          <w:numId w:val="6"/>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楼梯间加压送风井上每</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层设置</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送风口送风至楼梯间；独立前室、共用前室、合用前室及消防电梯前室加压风井上设置常闭多叶送风口送风至独立前室、共用前室、合用前室及消防电梯前室。</w:t>
      </w:r>
    </w:p>
    <w:p w14:paraId="5DA83BA0">
      <w:pPr>
        <w:pStyle w:val="5"/>
        <w:keepNext w:val="0"/>
        <w:keepLines/>
        <w:pageBreakBefore w:val="0"/>
        <w:numPr>
          <w:ilvl w:val="3"/>
          <w:numId w:val="6"/>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设置于独立前室、共用前室、合用前室及消防电梯前室加压风井上的常闭多叶送风口，应与消防火警信号联动，开启着火层及其相邻上下层送风口电动开启，也可现场手动开启，常闭多叶送风口开启后联锁开启对应的加压风机。</w:t>
      </w:r>
    </w:p>
    <w:p w14:paraId="1253BDAE">
      <w:pPr>
        <w:pStyle w:val="5"/>
        <w:keepNext w:val="0"/>
        <w:keepLines/>
        <w:pageBreakBefore w:val="0"/>
        <w:numPr>
          <w:ilvl w:val="3"/>
          <w:numId w:val="6"/>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机械加压系统泄压设计，前室与走道的压差为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Pa,楼梯间与走道之间的压差为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Pa。</w:t>
      </w:r>
    </w:p>
    <w:p w14:paraId="29ADBF9C">
      <w:pPr>
        <w:pStyle w:val="5"/>
        <w:keepNext w:val="0"/>
        <w:keepLines/>
        <w:pageBreakBefore w:val="0"/>
        <w:numPr>
          <w:ilvl w:val="3"/>
          <w:numId w:val="6"/>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机械加压风机均设置在专用机房内。设置机械加压送风系统的封闭楼梯间、防烟楼梯间，其顶部设置</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㎡的固定窗。靠外墙的防烟楼梯间，在其</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外</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墙上每</w:t>
      </w:r>
      <w:r>
        <w:rPr>
          <w:rFonts w:hint="eastAsia" w:ascii="宋体" w:hAnsi="宋体" w:eastAsia="宋体" w:cs="宋体"/>
          <w:color w:val="0D0D0D" w:themeColor="text1" w:themeTint="F2"/>
          <w:spacing w:val="-6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5</w:t>
      </w:r>
      <w:r>
        <w:rPr>
          <w:rFonts w:hint="eastAsia" w:ascii="宋体" w:hAnsi="宋体" w:eastAsia="宋体" w:cs="宋体"/>
          <w:color w:val="0D0D0D" w:themeColor="text1" w:themeTint="F2"/>
          <w:spacing w:val="-6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层内设置总面积</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㎡的固定窗。</w:t>
      </w:r>
    </w:p>
    <w:p w14:paraId="5CFC13CE">
      <w:pPr>
        <w:pStyle w:val="16"/>
        <w:keepNext w:val="0"/>
        <w:keepLines/>
        <w:pageBreakBefore w:val="0"/>
        <w:numPr>
          <w:ilvl w:val="0"/>
          <w:numId w:val="0"/>
        </w:numPr>
        <w:tabs>
          <w:tab w:val="left" w:pos="567"/>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pPr>
    </w:p>
    <w:p w14:paraId="61CBE4B5">
      <w:pPr>
        <w:pStyle w:val="16"/>
        <w:keepNext w:val="0"/>
        <w:keepLines/>
        <w:pageBreakBefore w:val="0"/>
        <w:numPr>
          <w:ilvl w:val="0"/>
          <w:numId w:val="0"/>
        </w:numPr>
        <w:tabs>
          <w:tab w:val="left" w:pos="567"/>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t>6.3</w:t>
      </w:r>
      <w:r>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t>改造范围内新增的排烟系统设计</w:t>
      </w:r>
    </w:p>
    <w:p w14:paraId="44214CAD">
      <w:pPr>
        <w:pStyle w:val="16"/>
        <w:keepNext w:val="0"/>
        <w:keepLines/>
        <w:pageBreakBefore w:val="0"/>
        <w:numPr>
          <w:ilvl w:val="0"/>
          <w:numId w:val="7"/>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C00000"/>
          <w:sz w:val="24"/>
          <w:szCs w:val="24"/>
        </w:rPr>
      </w:pPr>
      <w:r>
        <w:rPr>
          <w:rFonts w:hint="eastAsia" w:ascii="宋体" w:hAnsi="宋体" w:eastAsia="宋体" w:cs="宋体"/>
          <w:color w:val="C00000"/>
          <w:sz w:val="24"/>
          <w:szCs w:val="24"/>
        </w:rPr>
        <w:t>排烟设计范围</w:t>
      </w:r>
    </w:p>
    <w:p w14:paraId="6C8457F8">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经复核本项目原排烟系统不符合现行规范标准。依据《苏州市城市更新既有建筑消防设计技术指南》第5.3.1条建筑内部装修、建筑局部更新改造及功能未变的整体更新改造工程，当按现行标准执行确有困难时，防排烟系统可按原标准执行。第1.6条本指南所称的“确有困难”，应由建设单位组织消防安全评估后，根据评估报告，经专家论证研究确定。改造确有困难需要经专家论证研究确定，其余设计均需按现行规范设计。</w:t>
      </w:r>
    </w:p>
    <w:p w14:paraId="002DC7EA">
      <w:pPr>
        <w:keepNext w:val="0"/>
        <w:keepLines/>
        <w:pageBreakBefore w:val="0"/>
        <w:wordWrap/>
        <w:topLinePunct w:val="0"/>
        <w:bidi w:val="0"/>
        <w:spacing w:line="288" w:lineRule="auto"/>
        <w:ind w:left="0" w:leftChars="0" w:right="0" w:rightChars="0" w:firstLine="462" w:firstLineChars="200"/>
        <w:jc w:val="left"/>
        <w:rPr>
          <w:rFonts w:hint="eastAsia" w:ascii="宋体" w:hAnsi="宋体" w:eastAsia="宋体" w:cs="宋体"/>
          <w:b/>
          <w:bCs/>
          <w:color w:val="C00000"/>
          <w:spacing w:val="-5"/>
          <w:sz w:val="24"/>
          <w:szCs w:val="24"/>
          <w:lang w:val="en-US" w:eastAsia="zh-CN"/>
        </w:rPr>
      </w:pPr>
      <w:r>
        <w:rPr>
          <w:rFonts w:hint="eastAsia" w:ascii="宋体" w:hAnsi="宋体" w:eastAsia="宋体" w:cs="宋体"/>
          <w:b/>
          <w:bCs/>
          <w:color w:val="C00000"/>
          <w:spacing w:val="-5"/>
          <w:sz w:val="24"/>
          <w:szCs w:val="24"/>
          <w:lang w:val="en-US" w:eastAsia="zh-CN"/>
        </w:rPr>
        <w:t xml:space="preserve">本次设计范围按照现行规范设置独立的排烟系统。与原有排烟系统分开设计，不利用原有排烟系统。 </w:t>
      </w:r>
    </w:p>
    <w:p w14:paraId="05817091">
      <w:pPr>
        <w:pStyle w:val="5"/>
        <w:keepNext w:val="0"/>
        <w:keepLines/>
        <w:pageBreakBefore w:val="0"/>
        <w:numPr>
          <w:ilvl w:val="3"/>
          <w:numId w:val="8"/>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C00000"/>
          <w:spacing w:val="5"/>
          <w:sz w:val="24"/>
          <w:szCs w:val="24"/>
        </w:rPr>
      </w:pPr>
      <w:r>
        <w:rPr>
          <w:rFonts w:hint="eastAsia" w:ascii="宋体" w:hAnsi="宋体" w:eastAsia="宋体" w:cs="宋体"/>
          <w:color w:val="C00000"/>
          <w:spacing w:val="5"/>
          <w:sz w:val="24"/>
          <w:szCs w:val="24"/>
        </w:rPr>
        <w:t>本工程新增排烟设</w:t>
      </w:r>
      <w:r>
        <w:rPr>
          <w:rFonts w:hint="eastAsia" w:ascii="宋体" w:hAnsi="宋体" w:eastAsia="宋体" w:cs="宋体"/>
          <w:color w:val="C00000"/>
          <w:spacing w:val="7"/>
          <w:sz w:val="24"/>
          <w:szCs w:val="24"/>
        </w:rPr>
        <w:t>施</w:t>
      </w:r>
      <w:r>
        <w:rPr>
          <w:rFonts w:hint="eastAsia" w:ascii="宋体" w:hAnsi="宋体" w:eastAsia="宋体" w:cs="宋体"/>
          <w:color w:val="C00000"/>
          <w:spacing w:val="5"/>
          <w:sz w:val="24"/>
          <w:szCs w:val="24"/>
        </w:rPr>
        <w:t>的场所如下</w:t>
      </w:r>
      <w:r>
        <w:rPr>
          <w:rFonts w:hint="eastAsia" w:ascii="宋体" w:hAnsi="宋体" w:eastAsia="宋体" w:cs="宋体"/>
          <w:color w:val="C00000"/>
          <w:w w:val="101"/>
          <w:sz w:val="24"/>
          <w:szCs w:val="24"/>
        </w:rPr>
        <w:t>（涉及的场所请勾选）</w:t>
      </w:r>
      <w:r>
        <w:rPr>
          <w:rFonts w:hint="eastAsia" w:ascii="宋体" w:hAnsi="宋体" w:eastAsia="宋体" w:cs="宋体"/>
          <w:color w:val="C00000"/>
          <w:spacing w:val="5"/>
          <w:sz w:val="24"/>
          <w:szCs w:val="24"/>
        </w:rPr>
        <w:t>：</w:t>
      </w:r>
    </w:p>
    <w:p w14:paraId="40FB1FB1">
      <w:pPr>
        <w:keepNext w:val="0"/>
        <w:keepLines/>
        <w:pageBreakBefore w:val="0"/>
        <w:widowControl/>
        <w:suppressLineNumbers w:val="0"/>
        <w:wordWrap/>
        <w:topLinePunct w:val="0"/>
        <w:bidi w:val="0"/>
        <w:spacing w:line="288" w:lineRule="auto"/>
        <w:ind w:left="0" w:leftChars="0" w:right="0" w:rightChars="0" w:firstLine="0" w:firstLineChars="0"/>
        <w:jc w:val="left"/>
        <w:rPr>
          <w:rFonts w:hint="eastAsia" w:ascii="宋体" w:hAnsi="宋体" w:eastAsia="宋体" w:cs="宋体"/>
          <w:snapToGrid w:val="0"/>
          <w:color w:val="C00000"/>
          <w:spacing w:val="5"/>
          <w:kern w:val="0"/>
          <w:sz w:val="24"/>
          <w:szCs w:val="24"/>
        </w:rPr>
      </w:pPr>
      <w:r>
        <w:rPr>
          <w:rFonts w:hint="eastAsia" w:ascii="宋体" w:hAnsi="宋体" w:eastAsia="宋体" w:cs="宋体"/>
          <w:snapToGrid w:val="0"/>
          <w:color w:val="C00000"/>
          <w:spacing w:val="5"/>
          <w:kern w:val="0"/>
          <w:sz w:val="24"/>
          <w:szCs w:val="24"/>
          <w:lang w:val="en-US" w:eastAsia="zh-CN"/>
        </w:rPr>
        <w:t>1 本工程新增排烟设施的场所如下：a ☑长度大于 20m 的疏散走道b □面积大于 100㎡且经常有人停留的地上房间，c □面积大于 300</w:t>
      </w:r>
      <w:r>
        <w:rPr>
          <w:rFonts w:hint="eastAsia" w:ascii="宋体" w:hAnsi="宋体" w:eastAsia="宋体" w:cs="宋体"/>
          <w:snapToGrid w:val="0"/>
          <w:color w:val="C00000"/>
          <w:spacing w:val="5"/>
          <w:kern w:val="0"/>
          <w:sz w:val="24"/>
          <w:szCs w:val="24"/>
          <w:lang w:val="en-US" w:eastAsia="zh-CN"/>
        </w:rPr>
        <w:t>㎡</w:t>
      </w:r>
      <w:r>
        <w:rPr>
          <w:rFonts w:hint="eastAsia" w:ascii="宋体" w:hAnsi="宋体" w:eastAsia="宋体" w:cs="宋体"/>
          <w:snapToGrid w:val="0"/>
          <w:color w:val="C00000"/>
          <w:spacing w:val="5"/>
          <w:kern w:val="0"/>
          <w:sz w:val="24"/>
          <w:szCs w:val="24"/>
          <w:lang w:val="en-US" w:eastAsia="zh-CN"/>
        </w:rPr>
        <w:t>且可燃物较多的地上房间，d ☑无窗房间总面积大于 200</w:t>
      </w:r>
      <w:r>
        <w:rPr>
          <w:rFonts w:hint="eastAsia" w:ascii="宋体" w:hAnsi="宋体" w:eastAsia="宋体" w:cs="宋体"/>
          <w:snapToGrid w:val="0"/>
          <w:color w:val="C00000"/>
          <w:spacing w:val="5"/>
          <w:kern w:val="0"/>
          <w:sz w:val="24"/>
          <w:szCs w:val="24"/>
          <w:lang w:val="en-US" w:eastAsia="zh-CN"/>
        </w:rPr>
        <w:t>㎡</w:t>
      </w:r>
      <w:r>
        <w:rPr>
          <w:rFonts w:hint="eastAsia" w:ascii="宋体" w:hAnsi="宋体" w:eastAsia="宋体" w:cs="宋体"/>
          <w:snapToGrid w:val="0"/>
          <w:color w:val="C00000"/>
          <w:spacing w:val="5"/>
          <w:kern w:val="0"/>
          <w:sz w:val="24"/>
          <w:szCs w:val="24"/>
          <w:lang w:val="en-US" w:eastAsia="zh-CN"/>
        </w:rPr>
        <w:t>或单间面积大于 50</w:t>
      </w:r>
      <w:r>
        <w:rPr>
          <w:rFonts w:hint="eastAsia" w:ascii="宋体" w:hAnsi="宋体" w:eastAsia="宋体" w:cs="宋体"/>
          <w:snapToGrid w:val="0"/>
          <w:color w:val="C00000"/>
          <w:spacing w:val="5"/>
          <w:kern w:val="0"/>
          <w:sz w:val="24"/>
          <w:szCs w:val="24"/>
          <w:lang w:val="en-US" w:eastAsia="zh-CN"/>
        </w:rPr>
        <w:t>㎡</w:t>
      </w:r>
      <w:r>
        <w:rPr>
          <w:rFonts w:hint="eastAsia" w:ascii="宋体" w:hAnsi="宋体" w:eastAsia="宋体" w:cs="宋体"/>
          <w:snapToGrid w:val="0"/>
          <w:color w:val="C00000"/>
          <w:spacing w:val="5"/>
          <w:kern w:val="0"/>
          <w:sz w:val="24"/>
          <w:szCs w:val="24"/>
          <w:lang w:val="en-US" w:eastAsia="zh-CN"/>
        </w:rPr>
        <w:t>，经常有人停留或可燃物较多的区域</w:t>
      </w:r>
    </w:p>
    <w:p w14:paraId="1062A8B2">
      <w:pPr>
        <w:pStyle w:val="5"/>
        <w:keepNext w:val="0"/>
        <w:keepLines/>
        <w:pageBreakBefore w:val="0"/>
        <w:numPr>
          <w:ilvl w:val="3"/>
          <w:numId w:val="8"/>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本工程新增</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场所，设置有效面积不小于该房间建筑面积2%或低于规范限定风速的自然排烟窗（口），采用自然排烟。</w:t>
      </w:r>
    </w:p>
    <w:p w14:paraId="017D851C">
      <w:pPr>
        <w:pStyle w:val="5"/>
        <w:keepNext w:val="0"/>
        <w:keepLines/>
        <w:pageBreakBefore w:val="0"/>
        <w:numPr>
          <w:ilvl w:val="3"/>
          <w:numId w:val="8"/>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4F</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部分区域</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场所，不满足自然排烟条件，均设置机械排烟系统。</w:t>
      </w:r>
    </w:p>
    <w:p w14:paraId="5C1BB410">
      <w:pPr>
        <w:pStyle w:val="16"/>
        <w:keepNext w:val="0"/>
        <w:keepLines/>
        <w:pageBreakBefore w:val="0"/>
        <w:numPr>
          <w:ilvl w:val="0"/>
          <w:numId w:val="7"/>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排烟方式及计算</w:t>
      </w:r>
    </w:p>
    <w:p w14:paraId="5806E098">
      <w:pPr>
        <w:pStyle w:val="5"/>
        <w:keepNext w:val="0"/>
        <w:keepLines/>
        <w:pageBreakBefore w:val="0"/>
        <w:numPr>
          <w:ilvl w:val="3"/>
          <w:numId w:val="9"/>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本工程满足自然排烟条件的房间自然排烟窗（口）设置在储烟仓内，自然排烟窗应方便直接开启，设置在高处的自然排烟窗应设手动开启按钮，开启按钮距地</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m，且每组排烟窗的长度不超过</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3</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场所自然排烟窗风速小于规范限定值。自然排烟系统计算汇总见表</w:t>
      </w:r>
      <w:r>
        <w:rPr>
          <w:rFonts w:hint="eastAsia" w:ascii="宋体" w:hAnsi="宋体" w:eastAsia="宋体" w:cs="宋体"/>
          <w:color w:val="0D0D0D" w:themeColor="text1" w:themeTint="F2"/>
          <w:spacing w:val="-60"/>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6.3.2.1-1。</w:t>
      </w:r>
    </w:p>
    <w:p w14:paraId="114170F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表</w:t>
      </w:r>
      <w:r>
        <w:rPr>
          <w:rFonts w:hint="eastAsia" w:ascii="宋体" w:hAnsi="宋体" w:eastAsia="宋体" w:cs="宋体"/>
          <w:color w:val="0D0D0D" w:themeColor="text1" w:themeTint="F2"/>
          <w:spacing w:val="-32"/>
          <w:sz w:val="21"/>
          <w:szCs w:val="21"/>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6.3.2-1</w:t>
      </w:r>
      <w:r>
        <w:rPr>
          <w:rFonts w:hint="eastAsia" w:ascii="宋体" w:hAnsi="宋体" w:eastAsia="宋体" w:cs="宋体"/>
          <w:color w:val="0D0D0D" w:themeColor="text1" w:themeTint="F2"/>
          <w:spacing w:val="44"/>
          <w:sz w:val="21"/>
          <w:szCs w:val="21"/>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自然排烟系统计算汇总</w:t>
      </w:r>
    </w:p>
    <w:tbl>
      <w:tblPr>
        <w:tblStyle w:val="15"/>
        <w:tblW w:w="87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7"/>
        <w:gridCol w:w="1035"/>
        <w:gridCol w:w="795"/>
        <w:gridCol w:w="690"/>
        <w:gridCol w:w="690"/>
        <w:gridCol w:w="705"/>
        <w:gridCol w:w="825"/>
        <w:gridCol w:w="960"/>
        <w:gridCol w:w="900"/>
        <w:gridCol w:w="825"/>
      </w:tblGrid>
      <w:tr w14:paraId="2E866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jc w:val="center"/>
        </w:trPr>
        <w:tc>
          <w:tcPr>
            <w:tcW w:w="1367" w:type="dxa"/>
            <w:vAlign w:val="center"/>
          </w:tcPr>
          <w:p w14:paraId="1584E626">
            <w:pPr>
              <w:keepNext w:val="0"/>
              <w:keepLines/>
              <w:pageBreakBefore w:val="0"/>
              <w:wordWrap/>
              <w:topLinePunct w:val="0"/>
              <w:bidi w:val="0"/>
              <w:spacing w:line="288" w:lineRule="auto"/>
              <w:ind w:left="0" w:leftChars="0" w:right="0" w:rightChars="0" w:firstLine="0" w:firstLineChars="0"/>
              <w:jc w:val="center"/>
              <w:rPr>
                <w:rFonts w:hint="default"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防烟分区名称</w:t>
            </w:r>
          </w:p>
        </w:tc>
        <w:tc>
          <w:tcPr>
            <w:tcW w:w="1035" w:type="dxa"/>
            <w:vAlign w:val="center"/>
          </w:tcPr>
          <w:p w14:paraId="1446719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建筑</w:t>
            </w: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类型</w:t>
            </w:r>
          </w:p>
        </w:tc>
        <w:tc>
          <w:tcPr>
            <w:tcW w:w="795" w:type="dxa"/>
            <w:vAlign w:val="center"/>
          </w:tcPr>
          <w:p w14:paraId="563A20E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防烟分区面积</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w:t>
            </w:r>
          </w:p>
        </w:tc>
        <w:tc>
          <w:tcPr>
            <w:tcW w:w="690" w:type="dxa"/>
            <w:vAlign w:val="center"/>
          </w:tcPr>
          <w:p w14:paraId="6F88E20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空间</w:t>
            </w: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净高</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690" w:type="dxa"/>
            <w:vAlign w:val="center"/>
          </w:tcPr>
          <w:p w14:paraId="619D059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清晰</w:t>
            </w: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高度</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705" w:type="dxa"/>
            <w:vAlign w:val="center"/>
          </w:tcPr>
          <w:p w14:paraId="73B3DBC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t>储烟仓</w:t>
            </w: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厚度</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825" w:type="dxa"/>
            <w:vAlign w:val="center"/>
          </w:tcPr>
          <w:p w14:paraId="3CAD90F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5"/>
                <w:sz w:val="21"/>
                <w:szCs w:val="21"/>
                <w14:textFill>
                  <w14:solidFill>
                    <w14:schemeClr w14:val="tx1">
                      <w14:lumMod w14:val="95000"/>
                      <w14:lumOff w14:val="5000"/>
                    </w14:schemeClr>
                  </w14:solidFill>
                </w14:textFill>
              </w:rPr>
              <w:t>自然排</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烟窗形</w:t>
            </w:r>
            <w: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t>式</w:t>
            </w:r>
          </w:p>
        </w:tc>
        <w:tc>
          <w:tcPr>
            <w:tcW w:w="960" w:type="dxa"/>
            <w:vAlign w:val="center"/>
          </w:tcPr>
          <w:p w14:paraId="04258EF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规范要求开启</w:t>
            </w: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有效面积</w:t>
            </w:r>
            <w:r>
              <w:rPr>
                <w:rFonts w:hint="eastAsia" w:ascii="宋体" w:hAnsi="宋体" w:eastAsia="宋体" w:cs="宋体"/>
                <w:color w:val="0D0D0D" w:themeColor="text1" w:themeTint="F2"/>
                <w:spacing w:val="-10"/>
                <w:sz w:val="21"/>
                <w:szCs w:val="21"/>
                <w14:textFill>
                  <w14:solidFill>
                    <w14:schemeClr w14:val="tx1">
                      <w14:lumMod w14:val="95000"/>
                      <w14:lumOff w14:val="5000"/>
                    </w14:schemeClr>
                  </w14:solidFill>
                </w14:textFill>
              </w:rPr>
              <w:t>（㎡）</w:t>
            </w:r>
          </w:p>
        </w:tc>
        <w:tc>
          <w:tcPr>
            <w:tcW w:w="900" w:type="dxa"/>
            <w:vAlign w:val="center"/>
          </w:tcPr>
          <w:p w14:paraId="593AC55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实际开启面积</w:t>
            </w:r>
            <w:r>
              <w:rPr>
                <w:rFonts w:hint="eastAsia" w:ascii="宋体" w:hAnsi="宋体" w:eastAsia="宋体" w:cs="宋体"/>
                <w:color w:val="0D0D0D" w:themeColor="text1" w:themeTint="F2"/>
                <w:spacing w:val="-10"/>
                <w:sz w:val="21"/>
                <w:szCs w:val="21"/>
                <w14:textFill>
                  <w14:solidFill>
                    <w14:schemeClr w14:val="tx1">
                      <w14:lumMod w14:val="95000"/>
                      <w14:lumOff w14:val="5000"/>
                    </w14:schemeClr>
                  </w14:solidFill>
                </w14:textFill>
              </w:rPr>
              <w:t>（㎡）</w:t>
            </w:r>
          </w:p>
        </w:tc>
        <w:tc>
          <w:tcPr>
            <w:tcW w:w="825" w:type="dxa"/>
            <w:vAlign w:val="center"/>
          </w:tcPr>
          <w:p w14:paraId="0BA5FD5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开启有</w:t>
            </w: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效面积</w:t>
            </w:r>
            <w:r>
              <w:rPr>
                <w:rFonts w:hint="eastAsia" w:ascii="宋体" w:hAnsi="宋体" w:eastAsia="宋体" w:cs="宋体"/>
                <w:color w:val="0D0D0D" w:themeColor="text1" w:themeTint="F2"/>
                <w:spacing w:val="-10"/>
                <w:sz w:val="21"/>
                <w:szCs w:val="21"/>
                <w14:textFill>
                  <w14:solidFill>
                    <w14:schemeClr w14:val="tx1">
                      <w14:lumMod w14:val="95000"/>
                      <w14:lumOff w14:val="5000"/>
                    </w14:schemeClr>
                  </w14:solidFill>
                </w14:textFill>
              </w:rPr>
              <w:t>（㎡）</w:t>
            </w:r>
          </w:p>
        </w:tc>
      </w:tr>
      <w:tr w14:paraId="2F5B3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1367" w:type="dxa"/>
            <w:vAlign w:val="center"/>
          </w:tcPr>
          <w:p w14:paraId="1A3D69B4">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035" w:type="dxa"/>
            <w:vAlign w:val="center"/>
          </w:tcPr>
          <w:p w14:paraId="46821F1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795" w:type="dxa"/>
            <w:vAlign w:val="center"/>
          </w:tcPr>
          <w:p w14:paraId="510F8988">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690" w:type="dxa"/>
            <w:vAlign w:val="center"/>
          </w:tcPr>
          <w:p w14:paraId="3505C6CA">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690" w:type="dxa"/>
            <w:vAlign w:val="center"/>
          </w:tcPr>
          <w:p w14:paraId="1708A4A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705" w:type="dxa"/>
            <w:vAlign w:val="center"/>
          </w:tcPr>
          <w:p w14:paraId="1E7A1D07">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825" w:type="dxa"/>
            <w:vAlign w:val="center"/>
          </w:tcPr>
          <w:p w14:paraId="62DFAD9A">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960" w:type="dxa"/>
            <w:vAlign w:val="center"/>
          </w:tcPr>
          <w:p w14:paraId="42C9534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900" w:type="dxa"/>
            <w:vAlign w:val="center"/>
          </w:tcPr>
          <w:p w14:paraId="18DC1FD4">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825" w:type="dxa"/>
            <w:vAlign w:val="center"/>
          </w:tcPr>
          <w:p w14:paraId="56DD8E6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r>
      <w:tr w14:paraId="6F480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1367" w:type="dxa"/>
            <w:vAlign w:val="center"/>
          </w:tcPr>
          <w:p w14:paraId="23B70F25">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035" w:type="dxa"/>
            <w:vAlign w:val="center"/>
          </w:tcPr>
          <w:p w14:paraId="267F0A3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95" w:type="dxa"/>
            <w:vAlign w:val="center"/>
          </w:tcPr>
          <w:p w14:paraId="2A22651A">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690" w:type="dxa"/>
            <w:vAlign w:val="center"/>
          </w:tcPr>
          <w:p w14:paraId="5AD8BD07">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690" w:type="dxa"/>
            <w:vAlign w:val="center"/>
          </w:tcPr>
          <w:p w14:paraId="0673530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05" w:type="dxa"/>
            <w:vAlign w:val="center"/>
          </w:tcPr>
          <w:p w14:paraId="7A5A620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825" w:type="dxa"/>
            <w:vAlign w:val="center"/>
          </w:tcPr>
          <w:p w14:paraId="68EFEB7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14:textFill>
                  <w14:solidFill>
                    <w14:schemeClr w14:val="tx1">
                      <w14:lumMod w14:val="95000"/>
                      <w14:lumOff w14:val="5000"/>
                    </w14:schemeClr>
                  </w14:solidFill>
                </w14:textFill>
              </w:rPr>
            </w:pPr>
          </w:p>
        </w:tc>
        <w:tc>
          <w:tcPr>
            <w:tcW w:w="960" w:type="dxa"/>
            <w:vAlign w:val="center"/>
          </w:tcPr>
          <w:p w14:paraId="3CDCF280">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900" w:type="dxa"/>
            <w:vAlign w:val="center"/>
          </w:tcPr>
          <w:p w14:paraId="59CB7239">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825" w:type="dxa"/>
            <w:vAlign w:val="center"/>
          </w:tcPr>
          <w:p w14:paraId="06DE622E">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r w14:paraId="63CFC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jc w:val="center"/>
        </w:trPr>
        <w:tc>
          <w:tcPr>
            <w:tcW w:w="1367" w:type="dxa"/>
            <w:vAlign w:val="center"/>
          </w:tcPr>
          <w:p w14:paraId="712D97FE">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w:t>
            </w:r>
          </w:p>
        </w:tc>
        <w:tc>
          <w:tcPr>
            <w:tcW w:w="1035" w:type="dxa"/>
            <w:vAlign w:val="center"/>
          </w:tcPr>
          <w:p w14:paraId="082B6A91">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14:textFill>
                  <w14:solidFill>
                    <w14:schemeClr w14:val="tx1">
                      <w14:lumMod w14:val="95000"/>
                      <w14:lumOff w14:val="5000"/>
                    </w14:schemeClr>
                  </w14:solidFill>
                </w14:textFill>
              </w:rPr>
            </w:pPr>
          </w:p>
        </w:tc>
        <w:tc>
          <w:tcPr>
            <w:tcW w:w="795" w:type="dxa"/>
            <w:vAlign w:val="center"/>
          </w:tcPr>
          <w:p w14:paraId="410A9B38">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690" w:type="dxa"/>
            <w:vAlign w:val="center"/>
          </w:tcPr>
          <w:p w14:paraId="24AE2A8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690" w:type="dxa"/>
            <w:vAlign w:val="center"/>
          </w:tcPr>
          <w:p w14:paraId="2B9CDC74">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705" w:type="dxa"/>
            <w:vAlign w:val="center"/>
          </w:tcPr>
          <w:p w14:paraId="6CCFB2DF">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825" w:type="dxa"/>
            <w:vAlign w:val="center"/>
          </w:tcPr>
          <w:p w14:paraId="63B152D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p>
        </w:tc>
        <w:tc>
          <w:tcPr>
            <w:tcW w:w="960" w:type="dxa"/>
            <w:vAlign w:val="center"/>
          </w:tcPr>
          <w:p w14:paraId="0913A23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900" w:type="dxa"/>
            <w:vAlign w:val="center"/>
          </w:tcPr>
          <w:p w14:paraId="2166E7CD">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c>
          <w:tcPr>
            <w:tcW w:w="825" w:type="dxa"/>
            <w:vAlign w:val="center"/>
          </w:tcPr>
          <w:p w14:paraId="203EBCDB">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p>
        </w:tc>
      </w:tr>
    </w:tbl>
    <w:p w14:paraId="7B5FC81C">
      <w:pPr>
        <w:pStyle w:val="5"/>
        <w:keepNext w:val="0"/>
        <w:keepLines/>
        <w:pageBreakBefore w:val="0"/>
        <w:numPr>
          <w:ilvl w:val="0"/>
          <w:numId w:val="10"/>
        </w:numPr>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本工程不满足自然排烟条件的区域设机械排烟系统，机械排烟风量按照计算确定，且不小于规范中规定数值要求，风机风量按1.2倍计算排烟量取值。</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区域排烟系统设置为竖向系统，每段系统负担建筑高度不超过50m。地下室、地上密闭房间、地上超过500m</w:t>
      </w:r>
      <w:r>
        <w:rPr>
          <w:rFonts w:hint="eastAsia" w:ascii="宋体" w:hAnsi="宋体" w:eastAsia="宋体" w:cs="宋体"/>
          <w:color w:val="0D0D0D" w:themeColor="text1" w:themeTint="F2"/>
          <w:w w:val="101"/>
          <w:sz w:val="24"/>
          <w:szCs w:val="24"/>
          <w:vertAlign w:val="superscript"/>
          <w:lang w:val="en-US"/>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32"/>
          <w:position w:val="12"/>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房间设机械或自然补风系统，补风量按不小于排烟量50%计算。</w:t>
      </w:r>
    </w:p>
    <w:p w14:paraId="06426E59">
      <w:pPr>
        <w:pStyle w:val="5"/>
        <w:keepNext w:val="0"/>
        <w:keepLines/>
        <w:pageBreakBefore w:val="0"/>
        <w:numPr>
          <w:ilvl w:val="0"/>
          <w:numId w:val="10"/>
        </w:numPr>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本工程地下汽车库排烟系统按防烟分区设置，设置充电桩的防火分区，按照江苏省地方规范进行系统设计，每个防火单元为一防烟分区。</w:t>
      </w:r>
    </w:p>
    <w:p w14:paraId="78C4CAC1">
      <w:pPr>
        <w:pStyle w:val="5"/>
        <w:keepNext w:val="0"/>
        <w:keepLines/>
        <w:pageBreakBefore w:val="0"/>
        <w:numPr>
          <w:ilvl w:val="0"/>
          <w:numId w:val="10"/>
        </w:numPr>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电动自行车库各防烟分区按江苏省规范要求设置排烟系统。</w:t>
      </w:r>
    </w:p>
    <w:p w14:paraId="06DB59AB">
      <w:pPr>
        <w:pStyle w:val="5"/>
        <w:keepNext w:val="0"/>
        <w:keepLines/>
        <w:pageBreakBefore w:val="0"/>
        <w:numPr>
          <w:ilvl w:val="0"/>
          <w:numId w:val="10"/>
        </w:numPr>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净高＞6m的房间有</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，排烟量按烟羽流计算。中庭从</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层到</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层，中庭及周围空间均设机械排烟系统。机械排烟系统、补风系统计算汇总见表6.3.2.1-2、表6.3.2.1-3。</w:t>
      </w:r>
    </w:p>
    <w:p w14:paraId="1FB897C9">
      <w:pPr>
        <w:pStyle w:val="5"/>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t>表 6.3.2.1-2 机械排烟系统计算汇总</w:t>
      </w:r>
    </w:p>
    <w:tbl>
      <w:tblPr>
        <w:tblStyle w:val="15"/>
        <w:tblW w:w="84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7"/>
        <w:gridCol w:w="589"/>
        <w:gridCol w:w="555"/>
        <w:gridCol w:w="660"/>
        <w:gridCol w:w="660"/>
        <w:gridCol w:w="750"/>
        <w:gridCol w:w="765"/>
        <w:gridCol w:w="900"/>
        <w:gridCol w:w="900"/>
        <w:gridCol w:w="600"/>
        <w:gridCol w:w="705"/>
        <w:gridCol w:w="720"/>
      </w:tblGrid>
      <w:tr w14:paraId="31561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 w:hRule="atLeast"/>
          <w:jc w:val="center"/>
        </w:trPr>
        <w:tc>
          <w:tcPr>
            <w:tcW w:w="687" w:type="dxa"/>
            <w:vAlign w:val="center"/>
          </w:tcPr>
          <w:p w14:paraId="1ED2986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系统</w:t>
            </w: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名称</w:t>
            </w:r>
          </w:p>
        </w:tc>
        <w:tc>
          <w:tcPr>
            <w:tcW w:w="589" w:type="dxa"/>
            <w:vAlign w:val="center"/>
          </w:tcPr>
          <w:p w14:paraId="42A435B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12"/>
                <w:sz w:val="21"/>
                <w:szCs w:val="21"/>
                <w14:textFill>
                  <w14:solidFill>
                    <w14:schemeClr w14:val="tx1">
                      <w14:lumMod w14:val="95000"/>
                      <w14:lumOff w14:val="5000"/>
                    </w14:schemeClr>
                  </w14:solidFill>
                </w14:textFill>
              </w:rPr>
              <w:t>防烟</w:t>
            </w: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分区名称</w:t>
            </w:r>
          </w:p>
        </w:tc>
        <w:tc>
          <w:tcPr>
            <w:tcW w:w="555" w:type="dxa"/>
            <w:vAlign w:val="center"/>
          </w:tcPr>
          <w:p w14:paraId="006C495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建筑</w:t>
            </w: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类型</w:t>
            </w:r>
          </w:p>
        </w:tc>
        <w:tc>
          <w:tcPr>
            <w:tcW w:w="660" w:type="dxa"/>
            <w:vAlign w:val="center"/>
          </w:tcPr>
          <w:p w14:paraId="4C45EB3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1"/>
                <w:szCs w:val="21"/>
                <w:lang w:val="en-US" w:eastAsia="zh-CN"/>
                <w14:textFill>
                  <w14:solidFill>
                    <w14:schemeClr w14:val="tx1">
                      <w14:lumMod w14:val="95000"/>
                      <w14:lumOff w14:val="5000"/>
                    </w14:schemeClr>
                  </w14:solidFill>
                </w14:textFill>
              </w:rPr>
              <w:t>防烟</w:t>
            </w: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分区</w:t>
            </w: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面积</w:t>
            </w:r>
            <w:r>
              <w:rPr>
                <w:rFonts w:hint="eastAsia" w:ascii="宋体" w:hAnsi="宋体" w:eastAsia="宋体" w:cs="宋体"/>
                <w:color w:val="0D0D0D" w:themeColor="text1" w:themeTint="F2"/>
                <w:spacing w:val="-10"/>
                <w:w w:val="96"/>
                <w:sz w:val="21"/>
                <w:szCs w:val="21"/>
                <w14:textFill>
                  <w14:solidFill>
                    <w14:schemeClr w14:val="tx1">
                      <w14:lumMod w14:val="95000"/>
                      <w14:lumOff w14:val="5000"/>
                    </w14:schemeClr>
                  </w14:solidFill>
                </w14:textFill>
              </w:rPr>
              <w:t>(㎡)</w:t>
            </w:r>
          </w:p>
        </w:tc>
        <w:tc>
          <w:tcPr>
            <w:tcW w:w="660" w:type="dxa"/>
            <w:vAlign w:val="center"/>
          </w:tcPr>
          <w:p w14:paraId="367C254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空间</w:t>
            </w: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净高</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750" w:type="dxa"/>
            <w:vAlign w:val="center"/>
          </w:tcPr>
          <w:p w14:paraId="6D8FCD9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清晰</w:t>
            </w: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高度</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765" w:type="dxa"/>
            <w:vAlign w:val="center"/>
          </w:tcPr>
          <w:p w14:paraId="4A85BE5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t>储烟仓</w:t>
            </w:r>
            <w:r>
              <w:rPr>
                <w:rFonts w:hint="eastAsia" w:ascii="宋体" w:hAnsi="宋体" w:eastAsia="宋体" w:cs="宋体"/>
                <w:color w:val="0D0D0D" w:themeColor="text1" w:themeTint="F2"/>
                <w:spacing w:val="-8"/>
                <w:sz w:val="21"/>
                <w:szCs w:val="21"/>
                <w14:textFill>
                  <w14:solidFill>
                    <w14:schemeClr w14:val="tx1">
                      <w14:lumMod w14:val="95000"/>
                      <w14:lumOff w14:val="5000"/>
                    </w14:schemeClr>
                  </w14:solidFill>
                </w14:textFill>
              </w:rPr>
              <w:t>厚度</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900" w:type="dxa"/>
            <w:vAlign w:val="center"/>
          </w:tcPr>
          <w:p w14:paraId="4937D37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单个</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排烟口排烟量</w:t>
            </w:r>
            <w:r>
              <w:rPr>
                <w:rFonts w:hint="eastAsia" w:ascii="宋体" w:hAnsi="宋体" w:eastAsia="宋体" w:cs="宋体"/>
                <w:color w:val="0D0D0D" w:themeColor="text1" w:themeTint="F2"/>
                <w:spacing w:val="-1"/>
                <w:sz w:val="21"/>
                <w:szCs w:val="21"/>
                <w14:textFill>
                  <w14:solidFill>
                    <w14:schemeClr w14:val="tx1">
                      <w14:lumMod w14:val="95000"/>
                      <w14:lumOff w14:val="5000"/>
                    </w14:schemeClr>
                  </w14:solidFill>
                </w14:textFill>
              </w:rPr>
              <w:t>(m³/h)</w:t>
            </w:r>
          </w:p>
        </w:tc>
        <w:tc>
          <w:tcPr>
            <w:tcW w:w="900" w:type="dxa"/>
            <w:vAlign w:val="center"/>
          </w:tcPr>
          <w:p w14:paraId="210619A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21"/>
                <w:szCs w:val="21"/>
                <w14:textFill>
                  <w14:solidFill>
                    <w14:schemeClr w14:val="tx1">
                      <w14:lumMod w14:val="95000"/>
                      <w14:lumOff w14:val="5000"/>
                    </w14:schemeClr>
                  </w14:solidFill>
                </w14:textFill>
              </w:rPr>
              <w:t>单个排烟口</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最大允许排烟量</w:t>
            </w:r>
            <w:r>
              <w:rPr>
                <w:rFonts w:hint="eastAsia" w:ascii="宋体" w:hAnsi="宋体" w:eastAsia="宋体" w:cs="宋体"/>
                <w:color w:val="0D0D0D" w:themeColor="text1" w:themeTint="F2"/>
                <w:spacing w:val="-1"/>
                <w:sz w:val="21"/>
                <w:szCs w:val="21"/>
                <w14:textFill>
                  <w14:solidFill>
                    <w14:schemeClr w14:val="tx1">
                      <w14:lumMod w14:val="95000"/>
                      <w14:lumOff w14:val="5000"/>
                    </w14:schemeClr>
                  </w14:solidFill>
                </w14:textFill>
              </w:rPr>
              <w:t>(m³/h)</w:t>
            </w:r>
          </w:p>
        </w:tc>
        <w:tc>
          <w:tcPr>
            <w:tcW w:w="600" w:type="dxa"/>
            <w:vAlign w:val="center"/>
          </w:tcPr>
          <w:p w14:paraId="0BCB54F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排烟口</w:t>
            </w:r>
            <w:r>
              <w:rPr>
                <w:rFonts w:hint="eastAsia" w:ascii="宋体" w:hAnsi="宋体" w:eastAsia="宋体" w:cs="宋体"/>
                <w:color w:val="0D0D0D" w:themeColor="text1" w:themeTint="F2"/>
                <w:spacing w:val="-5"/>
                <w:sz w:val="21"/>
                <w:szCs w:val="21"/>
                <w14:textFill>
                  <w14:solidFill>
                    <w14:schemeClr w14:val="tx1">
                      <w14:lumMod w14:val="95000"/>
                      <w14:lumOff w14:val="5000"/>
                    </w14:schemeClr>
                  </w14:solidFill>
                </w14:textFill>
              </w:rPr>
              <w:t>边缘</w:t>
            </w:r>
            <w:r>
              <w:rPr>
                <w:rFonts w:hint="eastAsia" w:ascii="宋体" w:hAnsi="宋体" w:eastAsia="宋体" w:cs="宋体"/>
                <w:color w:val="0D0D0D" w:themeColor="text1" w:themeTint="F2"/>
                <w:spacing w:val="-13"/>
                <w:sz w:val="21"/>
                <w:szCs w:val="21"/>
                <w14:textFill>
                  <w14:solidFill>
                    <w14:schemeClr w14:val="tx1">
                      <w14:lumMod w14:val="95000"/>
                      <w14:lumOff w14:val="5000"/>
                    </w14:schemeClr>
                  </w14:solidFill>
                </w14:textFill>
              </w:rPr>
              <w:t>间距</w:t>
            </w:r>
            <w:r>
              <w:rPr>
                <w:rFonts w:hint="eastAsia" w:ascii="宋体" w:hAnsi="宋体" w:eastAsia="宋体" w:cs="宋体"/>
                <w:color w:val="0D0D0D" w:themeColor="text1" w:themeTint="F2"/>
                <w:spacing w:val="-10"/>
                <w:w w:val="95"/>
                <w:sz w:val="21"/>
                <w:szCs w:val="21"/>
                <w14:textFill>
                  <w14:solidFill>
                    <w14:schemeClr w14:val="tx1">
                      <w14:lumMod w14:val="95000"/>
                      <w14:lumOff w14:val="5000"/>
                    </w14:schemeClr>
                  </w14:solidFill>
                </w14:textFill>
              </w:rPr>
              <w:t>(m)</w:t>
            </w:r>
          </w:p>
        </w:tc>
        <w:tc>
          <w:tcPr>
            <w:tcW w:w="705" w:type="dxa"/>
            <w:vAlign w:val="center"/>
          </w:tcPr>
          <w:p w14:paraId="7AE0526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1"/>
                <w:szCs w:val="21"/>
                <w14:textFill>
                  <w14:solidFill>
                    <w14:schemeClr w14:val="tx1">
                      <w14:lumMod w14:val="95000"/>
                      <w14:lumOff w14:val="5000"/>
                    </w14:schemeClr>
                  </w14:solidFill>
                </w14:textFill>
              </w:rPr>
              <w:t>计算</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排烟量</w:t>
            </w:r>
            <w:r>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t>(m³/h)</w:t>
            </w:r>
          </w:p>
        </w:tc>
        <w:tc>
          <w:tcPr>
            <w:tcW w:w="720" w:type="dxa"/>
            <w:vAlign w:val="center"/>
          </w:tcPr>
          <w:p w14:paraId="19A6005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sz w:val="21"/>
                <w:szCs w:val="21"/>
                <w14:textFill>
                  <w14:solidFill>
                    <w14:schemeClr w14:val="tx1">
                      <w14:lumMod w14:val="95000"/>
                      <w14:lumOff w14:val="5000"/>
                    </w14:schemeClr>
                  </w14:solidFill>
                </w14:textFill>
              </w:rPr>
              <w:t>设计</w:t>
            </w:r>
            <w:r>
              <w:rPr>
                <w:rFonts w:hint="eastAsia" w:ascii="宋体" w:hAnsi="宋体" w:eastAsia="宋体" w:cs="宋体"/>
                <w:color w:val="0D0D0D" w:themeColor="text1" w:themeTint="F2"/>
                <w:spacing w:val="-4"/>
                <w:sz w:val="21"/>
                <w:szCs w:val="21"/>
                <w14:textFill>
                  <w14:solidFill>
                    <w14:schemeClr w14:val="tx1">
                      <w14:lumMod w14:val="95000"/>
                      <w14:lumOff w14:val="5000"/>
                    </w14:schemeClr>
                  </w14:solidFill>
                </w14:textFill>
              </w:rPr>
              <w:t>排烟量</w:t>
            </w:r>
            <w:r>
              <w:rPr>
                <w:rFonts w:hint="eastAsia" w:ascii="宋体" w:hAnsi="宋体" w:eastAsia="宋体" w:cs="宋体"/>
                <w:color w:val="0D0D0D" w:themeColor="text1" w:themeTint="F2"/>
                <w:spacing w:val="-2"/>
                <w:sz w:val="21"/>
                <w:szCs w:val="21"/>
                <w14:textFill>
                  <w14:solidFill>
                    <w14:schemeClr w14:val="tx1">
                      <w14:lumMod w14:val="95000"/>
                      <w14:lumOff w14:val="5000"/>
                    </w14:schemeClr>
                  </w14:solidFill>
                </w14:textFill>
              </w:rPr>
              <w:t>(m³/h)</w:t>
            </w:r>
          </w:p>
        </w:tc>
      </w:tr>
      <w:tr w14:paraId="0A292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87" w:type="dxa"/>
            <w:shd w:val="clear" w:color="auto" w:fill="auto"/>
            <w:vAlign w:val="center"/>
          </w:tcPr>
          <w:p w14:paraId="4AC9486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PY-1</w:t>
            </w:r>
          </w:p>
        </w:tc>
        <w:tc>
          <w:tcPr>
            <w:tcW w:w="589" w:type="dxa"/>
            <w:shd w:val="clear" w:color="auto" w:fill="auto"/>
            <w:vAlign w:val="center"/>
          </w:tcPr>
          <w:p w14:paraId="4036AB8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w:t>
            </w:r>
          </w:p>
        </w:tc>
        <w:tc>
          <w:tcPr>
            <w:tcW w:w="555" w:type="dxa"/>
            <w:shd w:val="clear" w:color="auto" w:fill="auto"/>
            <w:vAlign w:val="center"/>
          </w:tcPr>
          <w:p w14:paraId="573C8A5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商业</w:t>
            </w:r>
          </w:p>
        </w:tc>
        <w:tc>
          <w:tcPr>
            <w:tcW w:w="660" w:type="dxa"/>
            <w:shd w:val="clear" w:color="auto" w:fill="auto"/>
            <w:vAlign w:val="center"/>
          </w:tcPr>
          <w:p w14:paraId="2B3D9BF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25</w:t>
            </w:r>
          </w:p>
        </w:tc>
        <w:tc>
          <w:tcPr>
            <w:tcW w:w="660" w:type="dxa"/>
            <w:shd w:val="clear" w:color="auto" w:fill="auto"/>
            <w:vAlign w:val="center"/>
          </w:tcPr>
          <w:p w14:paraId="737134F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3.2</w:t>
            </w:r>
          </w:p>
        </w:tc>
        <w:tc>
          <w:tcPr>
            <w:tcW w:w="750" w:type="dxa"/>
            <w:shd w:val="clear" w:color="auto" w:fill="auto"/>
            <w:vAlign w:val="center"/>
          </w:tcPr>
          <w:p w14:paraId="03EB742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1.92</w:t>
            </w:r>
          </w:p>
        </w:tc>
        <w:tc>
          <w:tcPr>
            <w:tcW w:w="765" w:type="dxa"/>
            <w:shd w:val="clear" w:color="auto" w:fill="auto"/>
            <w:vAlign w:val="center"/>
          </w:tcPr>
          <w:p w14:paraId="345761D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1.1</w:t>
            </w:r>
          </w:p>
        </w:tc>
        <w:tc>
          <w:tcPr>
            <w:tcW w:w="900" w:type="dxa"/>
            <w:shd w:val="clear" w:color="auto" w:fill="auto"/>
            <w:vAlign w:val="center"/>
          </w:tcPr>
          <w:p w14:paraId="421954F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3000</w:t>
            </w:r>
          </w:p>
        </w:tc>
        <w:tc>
          <w:tcPr>
            <w:tcW w:w="900" w:type="dxa"/>
            <w:shd w:val="clear" w:color="auto" w:fill="auto"/>
            <w:vAlign w:val="center"/>
          </w:tcPr>
          <w:p w14:paraId="6BEF537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9840</w:t>
            </w:r>
          </w:p>
        </w:tc>
        <w:tc>
          <w:tcPr>
            <w:tcW w:w="600" w:type="dxa"/>
            <w:shd w:val="clear" w:color="auto" w:fill="auto"/>
            <w:vAlign w:val="center"/>
          </w:tcPr>
          <w:p w14:paraId="72F134F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0.5</w:t>
            </w:r>
          </w:p>
        </w:tc>
        <w:tc>
          <w:tcPr>
            <w:tcW w:w="705" w:type="dxa"/>
            <w:shd w:val="clear" w:color="auto" w:fill="auto"/>
            <w:vAlign w:val="center"/>
          </w:tcPr>
          <w:p w14:paraId="0074AC7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3000</w:t>
            </w:r>
          </w:p>
        </w:tc>
        <w:tc>
          <w:tcPr>
            <w:tcW w:w="720" w:type="dxa"/>
            <w:vMerge w:val="restart"/>
            <w:shd w:val="clear" w:color="auto" w:fill="auto"/>
            <w:vAlign w:val="center"/>
          </w:tcPr>
          <w:p w14:paraId="43C11783">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36000</w:t>
            </w:r>
          </w:p>
        </w:tc>
      </w:tr>
      <w:tr w14:paraId="4CF7C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87" w:type="dxa"/>
            <w:shd w:val="clear" w:color="auto" w:fill="auto"/>
            <w:vAlign w:val="center"/>
          </w:tcPr>
          <w:p w14:paraId="5D1C211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PY-1</w:t>
            </w:r>
          </w:p>
        </w:tc>
        <w:tc>
          <w:tcPr>
            <w:tcW w:w="589" w:type="dxa"/>
            <w:shd w:val="clear" w:color="auto" w:fill="auto"/>
            <w:vAlign w:val="center"/>
          </w:tcPr>
          <w:p w14:paraId="2271F48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w:t>
            </w:r>
          </w:p>
        </w:tc>
        <w:tc>
          <w:tcPr>
            <w:tcW w:w="555" w:type="dxa"/>
            <w:shd w:val="clear" w:color="auto" w:fill="auto"/>
            <w:vAlign w:val="center"/>
          </w:tcPr>
          <w:p w14:paraId="772FA3A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商业</w:t>
            </w:r>
          </w:p>
        </w:tc>
        <w:tc>
          <w:tcPr>
            <w:tcW w:w="660" w:type="dxa"/>
            <w:shd w:val="clear" w:color="auto" w:fill="auto"/>
            <w:vAlign w:val="center"/>
          </w:tcPr>
          <w:p w14:paraId="388CCDD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25</w:t>
            </w:r>
          </w:p>
        </w:tc>
        <w:tc>
          <w:tcPr>
            <w:tcW w:w="660" w:type="dxa"/>
            <w:shd w:val="clear" w:color="auto" w:fill="auto"/>
            <w:vAlign w:val="center"/>
          </w:tcPr>
          <w:p w14:paraId="7483D3D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3.4</w:t>
            </w:r>
          </w:p>
        </w:tc>
        <w:tc>
          <w:tcPr>
            <w:tcW w:w="750" w:type="dxa"/>
            <w:shd w:val="clear" w:color="auto" w:fill="auto"/>
            <w:vAlign w:val="center"/>
          </w:tcPr>
          <w:p w14:paraId="3D16E74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1.94</w:t>
            </w:r>
          </w:p>
        </w:tc>
        <w:tc>
          <w:tcPr>
            <w:tcW w:w="765" w:type="dxa"/>
            <w:shd w:val="clear" w:color="auto" w:fill="auto"/>
            <w:vAlign w:val="center"/>
          </w:tcPr>
          <w:p w14:paraId="6978DA6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1.25</w:t>
            </w:r>
          </w:p>
        </w:tc>
        <w:tc>
          <w:tcPr>
            <w:tcW w:w="900" w:type="dxa"/>
            <w:shd w:val="clear" w:color="auto" w:fill="auto"/>
            <w:vAlign w:val="center"/>
          </w:tcPr>
          <w:p w14:paraId="25DAACA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3000</w:t>
            </w:r>
          </w:p>
        </w:tc>
        <w:tc>
          <w:tcPr>
            <w:tcW w:w="900" w:type="dxa"/>
            <w:shd w:val="clear" w:color="auto" w:fill="auto"/>
            <w:vAlign w:val="center"/>
          </w:tcPr>
          <w:p w14:paraId="69D41AF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13387</w:t>
            </w:r>
          </w:p>
        </w:tc>
        <w:tc>
          <w:tcPr>
            <w:tcW w:w="600" w:type="dxa"/>
            <w:shd w:val="clear" w:color="auto" w:fill="auto"/>
            <w:vAlign w:val="center"/>
          </w:tcPr>
          <w:p w14:paraId="47212E1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0.5</w:t>
            </w:r>
          </w:p>
        </w:tc>
        <w:tc>
          <w:tcPr>
            <w:tcW w:w="705" w:type="dxa"/>
            <w:shd w:val="clear" w:color="auto" w:fill="auto"/>
            <w:vAlign w:val="center"/>
          </w:tcPr>
          <w:p w14:paraId="2243DB4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5400</w:t>
            </w:r>
          </w:p>
        </w:tc>
        <w:tc>
          <w:tcPr>
            <w:tcW w:w="720" w:type="dxa"/>
            <w:vMerge w:val="continue"/>
            <w:shd w:val="clear" w:color="auto" w:fill="auto"/>
            <w:vAlign w:val="center"/>
          </w:tcPr>
          <w:p w14:paraId="45ABD207">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r w14:paraId="4BFC6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87" w:type="dxa"/>
            <w:shd w:val="clear" w:color="auto" w:fill="auto"/>
            <w:vAlign w:val="center"/>
          </w:tcPr>
          <w:p w14:paraId="7BA2553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PY-1</w:t>
            </w:r>
          </w:p>
        </w:tc>
        <w:tc>
          <w:tcPr>
            <w:tcW w:w="589" w:type="dxa"/>
            <w:shd w:val="clear" w:color="auto" w:fill="auto"/>
            <w:vAlign w:val="center"/>
          </w:tcPr>
          <w:p w14:paraId="0BA30AB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20</w:t>
            </w:r>
          </w:p>
        </w:tc>
        <w:tc>
          <w:tcPr>
            <w:tcW w:w="555" w:type="dxa"/>
            <w:shd w:val="clear" w:color="auto" w:fill="auto"/>
            <w:vAlign w:val="center"/>
          </w:tcPr>
          <w:p w14:paraId="09D0E7F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走道</w:t>
            </w:r>
          </w:p>
        </w:tc>
        <w:tc>
          <w:tcPr>
            <w:tcW w:w="660" w:type="dxa"/>
            <w:shd w:val="clear" w:color="auto" w:fill="auto"/>
            <w:vAlign w:val="center"/>
          </w:tcPr>
          <w:p w14:paraId="53A5FF3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144</w:t>
            </w:r>
          </w:p>
        </w:tc>
        <w:tc>
          <w:tcPr>
            <w:tcW w:w="660" w:type="dxa"/>
            <w:shd w:val="clear" w:color="auto" w:fill="auto"/>
            <w:vAlign w:val="center"/>
          </w:tcPr>
          <w:p w14:paraId="6B22776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3.2</w:t>
            </w:r>
          </w:p>
        </w:tc>
        <w:tc>
          <w:tcPr>
            <w:tcW w:w="750" w:type="dxa"/>
            <w:shd w:val="clear" w:color="auto" w:fill="auto"/>
            <w:vAlign w:val="center"/>
          </w:tcPr>
          <w:p w14:paraId="30CA83D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1.92</w:t>
            </w:r>
          </w:p>
        </w:tc>
        <w:tc>
          <w:tcPr>
            <w:tcW w:w="765" w:type="dxa"/>
            <w:shd w:val="clear" w:color="auto" w:fill="auto"/>
            <w:vAlign w:val="center"/>
          </w:tcPr>
          <w:p w14:paraId="0C446C2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1.05</w:t>
            </w:r>
          </w:p>
        </w:tc>
        <w:tc>
          <w:tcPr>
            <w:tcW w:w="900" w:type="dxa"/>
            <w:shd w:val="clear" w:color="auto" w:fill="auto"/>
            <w:vAlign w:val="center"/>
          </w:tcPr>
          <w:p w14:paraId="3EF487A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7500</w:t>
            </w:r>
          </w:p>
        </w:tc>
        <w:tc>
          <w:tcPr>
            <w:tcW w:w="900" w:type="dxa"/>
            <w:shd w:val="clear" w:color="auto" w:fill="auto"/>
            <w:vAlign w:val="center"/>
          </w:tcPr>
          <w:p w14:paraId="0E72B5C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7536</w:t>
            </w:r>
          </w:p>
        </w:tc>
        <w:tc>
          <w:tcPr>
            <w:tcW w:w="600" w:type="dxa"/>
            <w:shd w:val="clear" w:color="auto" w:fill="auto"/>
            <w:vAlign w:val="center"/>
          </w:tcPr>
          <w:p w14:paraId="107D349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0.5</w:t>
            </w:r>
          </w:p>
        </w:tc>
        <w:tc>
          <w:tcPr>
            <w:tcW w:w="705" w:type="dxa"/>
            <w:shd w:val="clear" w:color="auto" w:fill="auto"/>
            <w:vAlign w:val="center"/>
          </w:tcPr>
          <w:p w14:paraId="1909EFB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15000</w:t>
            </w:r>
          </w:p>
        </w:tc>
        <w:tc>
          <w:tcPr>
            <w:tcW w:w="720" w:type="dxa"/>
            <w:vMerge w:val="continue"/>
            <w:shd w:val="clear" w:color="auto" w:fill="auto"/>
            <w:vAlign w:val="center"/>
          </w:tcPr>
          <w:p w14:paraId="6487B6BC">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r w14:paraId="7A822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687" w:type="dxa"/>
            <w:vAlign w:val="center"/>
          </w:tcPr>
          <w:p w14:paraId="1993A73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PY-1</w:t>
            </w:r>
          </w:p>
        </w:tc>
        <w:tc>
          <w:tcPr>
            <w:tcW w:w="589" w:type="dxa"/>
            <w:vAlign w:val="center"/>
          </w:tcPr>
          <w:p w14:paraId="77F2895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21</w:t>
            </w:r>
          </w:p>
        </w:tc>
        <w:tc>
          <w:tcPr>
            <w:tcW w:w="555" w:type="dxa"/>
            <w:vAlign w:val="center"/>
          </w:tcPr>
          <w:p w14:paraId="083E658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商业</w:t>
            </w:r>
          </w:p>
        </w:tc>
        <w:tc>
          <w:tcPr>
            <w:tcW w:w="660" w:type="dxa"/>
            <w:vAlign w:val="center"/>
          </w:tcPr>
          <w:p w14:paraId="33E56CA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144</w:t>
            </w:r>
          </w:p>
        </w:tc>
        <w:tc>
          <w:tcPr>
            <w:tcW w:w="660" w:type="dxa"/>
            <w:vAlign w:val="center"/>
          </w:tcPr>
          <w:p w14:paraId="4D6725B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3.4</w:t>
            </w:r>
          </w:p>
        </w:tc>
        <w:tc>
          <w:tcPr>
            <w:tcW w:w="750" w:type="dxa"/>
            <w:vAlign w:val="center"/>
          </w:tcPr>
          <w:p w14:paraId="30E7DFE8">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1.94</w:t>
            </w:r>
          </w:p>
        </w:tc>
        <w:tc>
          <w:tcPr>
            <w:tcW w:w="765" w:type="dxa"/>
            <w:vAlign w:val="center"/>
          </w:tcPr>
          <w:p w14:paraId="3EE7685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1.25</w:t>
            </w:r>
          </w:p>
        </w:tc>
        <w:tc>
          <w:tcPr>
            <w:tcW w:w="900" w:type="dxa"/>
            <w:vAlign w:val="center"/>
          </w:tcPr>
          <w:p w14:paraId="7021C13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15000</w:t>
            </w:r>
          </w:p>
        </w:tc>
        <w:tc>
          <w:tcPr>
            <w:tcW w:w="900" w:type="dxa"/>
            <w:vAlign w:val="center"/>
          </w:tcPr>
          <w:p w14:paraId="76B523E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26774</w:t>
            </w:r>
          </w:p>
        </w:tc>
        <w:tc>
          <w:tcPr>
            <w:tcW w:w="600" w:type="dxa"/>
            <w:vAlign w:val="center"/>
          </w:tcPr>
          <w:p w14:paraId="2533930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1"/>
                <w:szCs w:val="21"/>
                <w:lang w:val="en-US" w:eastAsia="zh-CN"/>
                <w14:textFill>
                  <w14:solidFill>
                    <w14:schemeClr w14:val="tx1">
                      <w14:lumMod w14:val="95000"/>
                      <w14:lumOff w14:val="5000"/>
                    </w14:schemeClr>
                  </w14:solidFill>
                </w14:textFill>
              </w:rPr>
              <w:t>1.2</w:t>
            </w:r>
          </w:p>
        </w:tc>
        <w:tc>
          <w:tcPr>
            <w:tcW w:w="705" w:type="dxa"/>
            <w:vAlign w:val="center"/>
          </w:tcPr>
          <w:p w14:paraId="250DA3D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15000</w:t>
            </w:r>
          </w:p>
        </w:tc>
        <w:tc>
          <w:tcPr>
            <w:tcW w:w="720" w:type="dxa"/>
            <w:vMerge w:val="continue"/>
            <w:vAlign w:val="center"/>
          </w:tcPr>
          <w:p w14:paraId="4C721E26">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r w14:paraId="1A04F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8491" w:type="dxa"/>
            <w:gridSpan w:val="12"/>
            <w:vAlign w:val="center"/>
          </w:tcPr>
          <w:p w14:paraId="7877CA5D">
            <w:pPr>
              <w:keepNext w:val="0"/>
              <w:keepLines/>
              <w:pageBreakBefore w:val="0"/>
              <w:wordWrap/>
              <w:topLinePunct w:val="0"/>
              <w:bidi w:val="0"/>
              <w:spacing w:line="288" w:lineRule="auto"/>
              <w:ind w:left="0" w:leftChars="0" w:right="0" w:rightChars="0" w:firstLine="0" w:firstLineChars="0"/>
              <w:jc w:val="both"/>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其余详见图纸</w:t>
            </w:r>
          </w:p>
        </w:tc>
      </w:tr>
    </w:tbl>
    <w:p w14:paraId="3FA7F932">
      <w:pPr>
        <w:pStyle w:val="5"/>
        <w:keepNext w:val="0"/>
        <w:keepLines/>
        <w:pageBreakBefore w:val="0"/>
        <w:kinsoku w:val="0"/>
        <w:wordWrap/>
        <w:overflowPunct w:val="0"/>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t>表 6.3.2.1-3 补风系统计算汇总</w:t>
      </w:r>
    </w:p>
    <w:tbl>
      <w:tblPr>
        <w:tblStyle w:val="10"/>
        <w:tblW w:w="5076" w:type="pct"/>
        <w:jc w:val="center"/>
        <w:tblLayout w:type="autofit"/>
        <w:tblCellMar>
          <w:top w:w="0" w:type="dxa"/>
          <w:left w:w="0" w:type="dxa"/>
          <w:bottom w:w="0" w:type="dxa"/>
          <w:right w:w="0" w:type="dxa"/>
        </w:tblCellMar>
      </w:tblPr>
      <w:tblGrid>
        <w:gridCol w:w="642"/>
        <w:gridCol w:w="633"/>
        <w:gridCol w:w="470"/>
        <w:gridCol w:w="633"/>
        <w:gridCol w:w="472"/>
        <w:gridCol w:w="633"/>
        <w:gridCol w:w="633"/>
        <w:gridCol w:w="680"/>
        <w:gridCol w:w="680"/>
        <w:gridCol w:w="796"/>
        <w:gridCol w:w="796"/>
        <w:gridCol w:w="684"/>
        <w:gridCol w:w="721"/>
      </w:tblGrid>
      <w:tr w14:paraId="46B2797D">
        <w:tblPrEx>
          <w:tblCellMar>
            <w:top w:w="0" w:type="dxa"/>
            <w:left w:w="0" w:type="dxa"/>
            <w:bottom w:w="0" w:type="dxa"/>
            <w:right w:w="0" w:type="dxa"/>
          </w:tblCellMar>
        </w:tblPrEx>
        <w:trPr>
          <w:trHeight w:val="1248" w:hRule="atLeast"/>
          <w:jc w:val="center"/>
        </w:trPr>
        <w:tc>
          <w:tcPr>
            <w:tcW w:w="379" w:type="pct"/>
            <w:tcBorders>
              <w:top w:val="single" w:color="000000" w:sz="4" w:space="0"/>
              <w:left w:val="single" w:color="000000" w:sz="4" w:space="0"/>
              <w:bottom w:val="single" w:color="000000" w:sz="4" w:space="0"/>
              <w:right w:val="single" w:color="000000" w:sz="4" w:space="0"/>
            </w:tcBorders>
            <w:vAlign w:val="center"/>
          </w:tcPr>
          <w:p w14:paraId="20A9258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系统名称</w:t>
            </w:r>
          </w:p>
        </w:tc>
        <w:tc>
          <w:tcPr>
            <w:tcW w:w="373" w:type="pct"/>
            <w:tcBorders>
              <w:top w:val="single" w:color="000000" w:sz="4" w:space="0"/>
              <w:left w:val="single" w:color="000000" w:sz="4" w:space="0"/>
              <w:bottom w:val="single" w:color="000000" w:sz="4" w:space="0"/>
              <w:right w:val="single" w:color="000000" w:sz="4" w:space="0"/>
            </w:tcBorders>
            <w:vAlign w:val="center"/>
          </w:tcPr>
          <w:p w14:paraId="0164A2D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防烟分区名称</w:t>
            </w:r>
          </w:p>
        </w:tc>
        <w:tc>
          <w:tcPr>
            <w:tcW w:w="277" w:type="pct"/>
            <w:tcBorders>
              <w:top w:val="single" w:color="000000" w:sz="4" w:space="0"/>
              <w:left w:val="single" w:color="000000" w:sz="4" w:space="0"/>
              <w:bottom w:val="single" w:color="000000" w:sz="4" w:space="0"/>
              <w:right w:val="single" w:color="000000" w:sz="4" w:space="0"/>
            </w:tcBorders>
            <w:vAlign w:val="center"/>
          </w:tcPr>
          <w:p w14:paraId="4D95643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建筑类型</w:t>
            </w:r>
          </w:p>
        </w:tc>
        <w:tc>
          <w:tcPr>
            <w:tcW w:w="373" w:type="pct"/>
            <w:tcBorders>
              <w:top w:val="single" w:color="000000" w:sz="4" w:space="0"/>
              <w:left w:val="single" w:color="000000" w:sz="4" w:space="0"/>
              <w:bottom w:val="single" w:color="000000" w:sz="4" w:space="0"/>
              <w:right w:val="single" w:color="000000" w:sz="4" w:space="0"/>
            </w:tcBorders>
            <w:vAlign w:val="center"/>
          </w:tcPr>
          <w:p w14:paraId="7AA60E1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需补风房间面积</w:t>
            </w:r>
          </w:p>
          <w:p w14:paraId="072B96B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278" w:type="pct"/>
            <w:tcBorders>
              <w:top w:val="single" w:color="000000" w:sz="4" w:space="0"/>
              <w:left w:val="single" w:color="000000" w:sz="4" w:space="0"/>
              <w:bottom w:val="single" w:color="000000" w:sz="4" w:space="0"/>
              <w:right w:val="single" w:color="000000" w:sz="4" w:space="0"/>
            </w:tcBorders>
            <w:vAlign w:val="center"/>
          </w:tcPr>
          <w:p w14:paraId="2B2BCBC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空间净高(m)</w:t>
            </w:r>
          </w:p>
        </w:tc>
        <w:tc>
          <w:tcPr>
            <w:tcW w:w="373" w:type="pct"/>
            <w:tcBorders>
              <w:top w:val="single" w:color="000000" w:sz="4" w:space="0"/>
              <w:left w:val="single" w:color="000000" w:sz="4" w:space="0"/>
              <w:bottom w:val="single" w:color="000000" w:sz="4" w:space="0"/>
              <w:right w:val="single" w:color="000000" w:sz="4" w:space="0"/>
            </w:tcBorders>
            <w:vAlign w:val="center"/>
          </w:tcPr>
          <w:p w14:paraId="60719FC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储烟仓厚度(m)</w:t>
            </w:r>
          </w:p>
        </w:tc>
        <w:tc>
          <w:tcPr>
            <w:tcW w:w="373" w:type="pct"/>
            <w:tcBorders>
              <w:top w:val="single" w:color="000000" w:sz="4" w:space="0"/>
              <w:left w:val="single" w:color="000000" w:sz="4" w:space="0"/>
              <w:bottom w:val="single" w:color="000000" w:sz="4" w:space="0"/>
              <w:right w:val="single" w:color="000000" w:sz="4" w:space="0"/>
            </w:tcBorders>
            <w:vAlign w:val="center"/>
          </w:tcPr>
          <w:p w14:paraId="566A83E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补风口顶端高度(m)</w:t>
            </w:r>
          </w:p>
        </w:tc>
        <w:tc>
          <w:tcPr>
            <w:tcW w:w="401" w:type="pct"/>
            <w:tcBorders>
              <w:top w:val="single" w:color="000000" w:sz="4" w:space="0"/>
              <w:left w:val="single" w:color="000000" w:sz="4" w:space="0"/>
              <w:bottom w:val="single" w:color="000000" w:sz="4" w:space="0"/>
              <w:right w:val="single" w:color="000000" w:sz="4" w:space="0"/>
            </w:tcBorders>
            <w:vAlign w:val="center"/>
          </w:tcPr>
          <w:p w14:paraId="0398793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计算排烟量(m³/h)</w:t>
            </w:r>
          </w:p>
        </w:tc>
        <w:tc>
          <w:tcPr>
            <w:tcW w:w="401" w:type="pct"/>
            <w:tcBorders>
              <w:top w:val="single" w:color="000000" w:sz="4" w:space="0"/>
              <w:left w:val="single" w:color="000000" w:sz="4" w:space="0"/>
              <w:bottom w:val="single" w:color="000000" w:sz="4" w:space="0"/>
              <w:right w:val="single" w:color="000000" w:sz="4" w:space="0"/>
            </w:tcBorders>
            <w:vAlign w:val="center"/>
          </w:tcPr>
          <w:p w14:paraId="4E975EF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计算补风量(m³/h)</w:t>
            </w:r>
          </w:p>
        </w:tc>
        <w:tc>
          <w:tcPr>
            <w:tcW w:w="469" w:type="pct"/>
            <w:tcBorders>
              <w:top w:val="single" w:color="000000" w:sz="4" w:space="0"/>
              <w:left w:val="single" w:color="000000" w:sz="4" w:space="0"/>
              <w:bottom w:val="single" w:color="000000" w:sz="4" w:space="0"/>
              <w:right w:val="single" w:color="000000" w:sz="4" w:space="0"/>
            </w:tcBorders>
            <w:vAlign w:val="center"/>
          </w:tcPr>
          <w:p w14:paraId="45842B6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自然补风口开窗面积(m³)</w:t>
            </w:r>
          </w:p>
        </w:tc>
        <w:tc>
          <w:tcPr>
            <w:tcW w:w="469" w:type="pct"/>
            <w:tcBorders>
              <w:top w:val="single" w:color="000000" w:sz="4" w:space="0"/>
              <w:left w:val="single" w:color="000000" w:sz="4" w:space="0"/>
              <w:bottom w:val="single" w:color="000000" w:sz="4" w:space="0"/>
              <w:right w:val="single" w:color="000000" w:sz="4" w:space="0"/>
            </w:tcBorders>
            <w:vAlign w:val="center"/>
          </w:tcPr>
          <w:p w14:paraId="35DE2DC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自然补风口风速(m/s)</w:t>
            </w:r>
          </w:p>
        </w:tc>
        <w:tc>
          <w:tcPr>
            <w:tcW w:w="403" w:type="pct"/>
            <w:tcBorders>
              <w:top w:val="single" w:color="000000" w:sz="4" w:space="0"/>
              <w:left w:val="single" w:color="000000" w:sz="4" w:space="0"/>
              <w:bottom w:val="single" w:color="000000" w:sz="4" w:space="0"/>
              <w:right w:val="single" w:color="000000" w:sz="4" w:space="0"/>
            </w:tcBorders>
            <w:vAlign w:val="center"/>
          </w:tcPr>
          <w:p w14:paraId="4FD6310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机械补风量(m³/h)</w:t>
            </w:r>
          </w:p>
        </w:tc>
        <w:tc>
          <w:tcPr>
            <w:tcW w:w="425" w:type="pct"/>
            <w:tcBorders>
              <w:top w:val="single" w:color="000000" w:sz="4" w:space="0"/>
              <w:left w:val="single" w:color="000000" w:sz="4" w:space="0"/>
              <w:bottom w:val="single" w:color="000000" w:sz="4" w:space="0"/>
              <w:right w:val="single" w:color="000000" w:sz="4" w:space="0"/>
            </w:tcBorders>
            <w:vAlign w:val="center"/>
          </w:tcPr>
          <w:p w14:paraId="5304055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对应排烟系统编号</w:t>
            </w:r>
          </w:p>
        </w:tc>
      </w:tr>
      <w:tr w14:paraId="7FC69880">
        <w:tblPrEx>
          <w:tblCellMar>
            <w:top w:w="0" w:type="dxa"/>
            <w:left w:w="0" w:type="dxa"/>
            <w:bottom w:w="0" w:type="dxa"/>
            <w:right w:w="0" w:type="dxa"/>
          </w:tblCellMar>
        </w:tblPrEx>
        <w:trPr>
          <w:trHeight w:val="339" w:hRule="atLeast"/>
          <w:jc w:val="center"/>
        </w:trPr>
        <w:tc>
          <w:tcPr>
            <w:tcW w:w="3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5A86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78DE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2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ECA4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373" w:type="pct"/>
            <w:tcBorders>
              <w:top w:val="single" w:color="000000" w:sz="4" w:space="0"/>
              <w:left w:val="single" w:color="000000" w:sz="4" w:space="0"/>
              <w:bottom w:val="single" w:color="000000" w:sz="4" w:space="0"/>
              <w:right w:val="single" w:color="000000" w:sz="4" w:space="0"/>
            </w:tcBorders>
            <w:vAlign w:val="center"/>
          </w:tcPr>
          <w:p w14:paraId="3E0951C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278" w:type="pct"/>
            <w:tcBorders>
              <w:top w:val="single" w:color="000000" w:sz="4" w:space="0"/>
              <w:left w:val="single" w:color="000000" w:sz="4" w:space="0"/>
              <w:bottom w:val="single" w:color="000000" w:sz="4" w:space="0"/>
              <w:right w:val="single" w:color="000000" w:sz="4" w:space="0"/>
            </w:tcBorders>
            <w:vAlign w:val="center"/>
          </w:tcPr>
          <w:p w14:paraId="0C9A344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373" w:type="pct"/>
            <w:tcBorders>
              <w:top w:val="single" w:color="000000" w:sz="4" w:space="0"/>
              <w:left w:val="single" w:color="000000" w:sz="4" w:space="0"/>
              <w:bottom w:val="single" w:color="000000" w:sz="4" w:space="0"/>
              <w:right w:val="single" w:color="000000" w:sz="4" w:space="0"/>
            </w:tcBorders>
            <w:vAlign w:val="center"/>
          </w:tcPr>
          <w:p w14:paraId="5B3ED0F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373" w:type="pct"/>
            <w:tcBorders>
              <w:top w:val="single" w:color="000000" w:sz="4" w:space="0"/>
              <w:left w:val="single" w:color="000000" w:sz="4" w:space="0"/>
              <w:bottom w:val="single" w:color="000000" w:sz="4" w:space="0"/>
              <w:right w:val="single" w:color="000000" w:sz="4" w:space="0"/>
            </w:tcBorders>
            <w:vAlign w:val="center"/>
          </w:tcPr>
          <w:p w14:paraId="226A4E6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01" w:type="pct"/>
            <w:tcBorders>
              <w:top w:val="single" w:color="000000" w:sz="4" w:space="0"/>
              <w:left w:val="single" w:color="000000" w:sz="4" w:space="0"/>
              <w:bottom w:val="single" w:color="000000" w:sz="4" w:space="0"/>
              <w:right w:val="single" w:color="000000" w:sz="4" w:space="0"/>
            </w:tcBorders>
            <w:vAlign w:val="center"/>
          </w:tcPr>
          <w:p w14:paraId="0378BCD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01" w:type="pct"/>
            <w:tcBorders>
              <w:top w:val="single" w:color="000000" w:sz="4" w:space="0"/>
              <w:left w:val="single" w:color="000000" w:sz="4" w:space="0"/>
              <w:bottom w:val="single" w:color="000000" w:sz="4" w:space="0"/>
              <w:right w:val="single" w:color="000000" w:sz="4" w:space="0"/>
            </w:tcBorders>
            <w:vAlign w:val="center"/>
          </w:tcPr>
          <w:p w14:paraId="48297E0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69" w:type="pct"/>
            <w:tcBorders>
              <w:top w:val="single" w:color="000000" w:sz="4" w:space="0"/>
              <w:left w:val="single" w:color="000000" w:sz="4" w:space="0"/>
              <w:bottom w:val="single" w:color="000000" w:sz="4" w:space="0"/>
              <w:right w:val="single" w:color="000000" w:sz="4" w:space="0"/>
            </w:tcBorders>
            <w:vAlign w:val="center"/>
          </w:tcPr>
          <w:p w14:paraId="3AC87E4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69" w:type="pct"/>
            <w:tcBorders>
              <w:top w:val="single" w:color="000000" w:sz="4" w:space="0"/>
              <w:left w:val="single" w:color="000000" w:sz="4" w:space="0"/>
              <w:bottom w:val="single" w:color="000000" w:sz="4" w:space="0"/>
              <w:right w:val="single" w:color="000000" w:sz="4" w:space="0"/>
            </w:tcBorders>
            <w:vAlign w:val="center"/>
          </w:tcPr>
          <w:p w14:paraId="485551B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03" w:type="pct"/>
            <w:tcBorders>
              <w:top w:val="single" w:color="000000" w:sz="4" w:space="0"/>
              <w:left w:val="single" w:color="000000" w:sz="4" w:space="0"/>
              <w:bottom w:val="single" w:color="000000" w:sz="4" w:space="0"/>
              <w:right w:val="single" w:color="000000" w:sz="4" w:space="0"/>
            </w:tcBorders>
            <w:vAlign w:val="center"/>
          </w:tcPr>
          <w:p w14:paraId="79485F8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425" w:type="pct"/>
            <w:tcBorders>
              <w:top w:val="single" w:color="000000" w:sz="4" w:space="0"/>
              <w:left w:val="single" w:color="000000" w:sz="4" w:space="0"/>
              <w:bottom w:val="single" w:color="000000" w:sz="4" w:space="0"/>
              <w:right w:val="single" w:color="000000" w:sz="4" w:space="0"/>
            </w:tcBorders>
            <w:vAlign w:val="center"/>
          </w:tcPr>
          <w:p w14:paraId="1A163AE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r>
    </w:tbl>
    <w:p w14:paraId="34940693">
      <w:pPr>
        <w:keepNext w:val="0"/>
        <w:keepLines/>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position w:val="1"/>
          <w:sz w:val="24"/>
          <w:szCs w:val="24"/>
          <w14:textFill>
            <w14:solidFill>
              <w14:schemeClr w14:val="tx1">
                <w14:lumMod w14:val="95000"/>
                <w14:lumOff w14:val="5000"/>
              </w14:schemeClr>
            </w14:solidFill>
          </w14:textFill>
        </w:rPr>
        <w:t xml:space="preserve">6.3.2.2 </w:t>
      </w:r>
      <w:r>
        <w:rPr>
          <w:rFonts w:hint="eastAsia" w:ascii="宋体" w:hAnsi="宋体" w:eastAsia="宋体" w:cs="宋体"/>
          <w:color w:val="0D0D0D" w:themeColor="text1" w:themeTint="F2"/>
          <w:w w:val="101"/>
          <w:position w:val="1"/>
          <w:sz w:val="24"/>
          <w:szCs w:val="24"/>
          <w14:textFill>
            <w14:solidFill>
              <w14:schemeClr w14:val="tx1">
                <w14:lumMod w14:val="95000"/>
                <w14:lumOff w14:val="5000"/>
              </w14:schemeClr>
            </w14:solidFill>
          </w14:textFill>
        </w:rPr>
        <w:t>机械排烟场所固定窗</w:t>
      </w:r>
    </w:p>
    <w:p w14:paraId="477C83A0">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本工</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程</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设置</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烟系统</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5"/>
          <w:w w:val="101"/>
          <w:sz w:val="24"/>
          <w:szCs w:val="24"/>
          <w:u w:val="single" w:color="FF0000"/>
          <w:lang w:eastAsia="zh-CN"/>
          <w14:textFill>
            <w14:solidFill>
              <w14:schemeClr w14:val="tx1">
                <w14:lumMod w14:val="95000"/>
                <w14:lumOff w14:val="5000"/>
              </w14:schemeClr>
            </w14:solidFill>
          </w14:textFill>
        </w:rPr>
        <w:t>四层局部</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在外</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墙</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或屋顶设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固定窗。非</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顶</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层区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域</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的固定窗布置</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在</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每层的外墙上，顶层的固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定</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窗布置在屋顶或顶层的外</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墙</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上。</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固定窗按每个防烟分区在屋顶或建筑外墙上均匀布置，不跨越防火分区。</w:t>
      </w:r>
    </w:p>
    <w:p w14:paraId="6191452E">
      <w:pPr>
        <w:keepNext w:val="0"/>
        <w:keepLines/>
        <w:pageBreakBefore w:val="0"/>
        <w:wordWrap/>
        <w:topLinePunct w:val="0"/>
        <w:bidi w:val="0"/>
        <w:spacing w:line="288" w:lineRule="auto"/>
        <w:ind w:left="0" w:leftChars="0" w:right="0" w:rightChars="0" w:firstLine="488"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设置</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在</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顶层区</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固定</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窗</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，其总</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面</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积不小</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楼地面</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面</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积</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 xml:space="preserve"> 2%。</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在靠</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外</w:t>
      </w:r>
      <w:r>
        <w:rPr>
          <w:rFonts w:hint="eastAsia" w:ascii="宋体" w:hAnsi="宋体" w:eastAsia="宋体" w:cs="宋体"/>
          <w:color w:val="0D0D0D" w:themeColor="text1" w:themeTint="F2"/>
          <w:spacing w:val="12"/>
          <w:w w:val="101"/>
          <w:sz w:val="24"/>
          <w:szCs w:val="24"/>
          <w14:textFill>
            <w14:solidFill>
              <w14:schemeClr w14:val="tx1">
                <w14:lumMod w14:val="95000"/>
                <w14:lumOff w14:val="5000"/>
              </w14:schemeClr>
            </w14:solidFill>
          </w14:textFill>
        </w:rPr>
        <w:t>墙且不位</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12"/>
          <w:sz w:val="24"/>
          <w:szCs w:val="24"/>
          <w14:textFill>
            <w14:solidFill>
              <w14:schemeClr w14:val="tx1">
                <w14:lumMod w14:val="95000"/>
                <w14:lumOff w14:val="5000"/>
              </w14:schemeClr>
            </w14:solidFill>
          </w14:textFill>
        </w:rPr>
        <w:t>顶层区域的固定窗，</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单</w:t>
      </w:r>
      <w:r>
        <w:rPr>
          <w:rFonts w:hint="eastAsia" w:ascii="宋体" w:hAnsi="宋体" w:eastAsia="宋体" w:cs="宋体"/>
          <w:color w:val="0D0D0D" w:themeColor="text1" w:themeTint="F2"/>
          <w:spacing w:val="12"/>
          <w:sz w:val="24"/>
          <w:szCs w:val="24"/>
          <w14:textFill>
            <w14:solidFill>
              <w14:schemeClr w14:val="tx1">
                <w14:lumMod w14:val="95000"/>
                <w14:lumOff w14:val="5000"/>
              </w14:schemeClr>
            </w14:solidFill>
          </w14:textFill>
        </w:rPr>
        <w:t>个固定</w:t>
      </w:r>
      <w:r>
        <w:rPr>
          <w:rFonts w:hint="eastAsia" w:ascii="宋体" w:hAnsi="宋体" w:eastAsia="宋体" w:cs="宋体"/>
          <w:color w:val="0D0D0D" w:themeColor="text1" w:themeTint="F2"/>
          <w:spacing w:val="10"/>
          <w:sz w:val="24"/>
          <w:szCs w:val="24"/>
          <w14:textFill>
            <w14:solidFill>
              <w14:schemeClr w14:val="tx1">
                <w14:lumMod w14:val="95000"/>
                <w14:lumOff w14:val="5000"/>
              </w14:schemeClr>
            </w14:solidFill>
          </w14:textFill>
        </w:rPr>
        <w:t>窗</w:t>
      </w:r>
      <w:r>
        <w:rPr>
          <w:rFonts w:hint="eastAsia" w:ascii="宋体" w:hAnsi="宋体" w:eastAsia="宋体" w:cs="宋体"/>
          <w:color w:val="0D0D0D" w:themeColor="text1" w:themeTint="F2"/>
          <w:spacing w:val="12"/>
          <w:sz w:val="24"/>
          <w:szCs w:val="24"/>
          <w14:textFill>
            <w14:solidFill>
              <w14:schemeClr w14:val="tx1">
                <w14:lumMod w14:val="95000"/>
                <w14:lumOff w14:val="5000"/>
              </w14:schemeClr>
            </w14:solidFill>
          </w14:textFill>
        </w:rPr>
        <w:t>面积不小</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于1</w:t>
      </w:r>
      <w:r>
        <w:rPr>
          <w:rFonts w:hint="eastAsia" w:ascii="宋体" w:hAnsi="宋体" w:eastAsia="宋体" w:cs="宋体"/>
          <w:color w:val="0D0D0D" w:themeColor="text1" w:themeTint="F2"/>
          <w:spacing w:val="12"/>
          <w:w w:val="101"/>
          <w:sz w:val="24"/>
          <w:szCs w:val="24"/>
          <w14:textFill>
            <w14:solidFill>
              <w14:schemeClr w14:val="tx1">
                <w14:lumMod w14:val="95000"/>
                <w14:lumOff w14:val="5000"/>
              </w14:schemeClr>
            </w14:solidFill>
          </w14:textFill>
        </w:rPr>
        <w:t>㎡，且间</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距</w:t>
      </w:r>
      <w:r>
        <w:rPr>
          <w:rFonts w:hint="eastAsia" w:ascii="宋体" w:hAnsi="宋体" w:eastAsia="宋体" w:cs="宋体"/>
          <w:color w:val="0D0D0D" w:themeColor="text1" w:themeTint="F2"/>
          <w:spacing w:val="12"/>
          <w:w w:val="101"/>
          <w:sz w:val="24"/>
          <w:szCs w:val="24"/>
          <w14:textFill>
            <w14:solidFill>
              <w14:schemeClr w14:val="tx1">
                <w14:lumMod w14:val="95000"/>
                <w14:lumOff w14:val="5000"/>
              </w14:schemeClr>
            </w14:solidFill>
          </w14:textFill>
        </w:rPr>
        <w:t>不大</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20m，其下沿距室内</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地</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面的高度</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不</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小于层高</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w w:val="91"/>
          <w:sz w:val="24"/>
          <w:szCs w:val="24"/>
          <w14:textFill>
            <w14:solidFill>
              <w14:schemeClr w14:val="tx1">
                <w14:lumMod w14:val="95000"/>
                <w14:lumOff w14:val="5000"/>
              </w14:schemeClr>
            </w14:solidFill>
          </w14:textFill>
        </w:rPr>
        <w:t>1</w:t>
      </w:r>
      <w:r>
        <w:rPr>
          <w:rFonts w:hint="eastAsia" w:ascii="宋体" w:hAnsi="宋体" w:eastAsia="宋体" w:cs="宋体"/>
          <w:color w:val="0D0D0D" w:themeColor="text1" w:themeTint="F2"/>
          <w:w w:val="108"/>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91"/>
          <w:sz w:val="24"/>
          <w:szCs w:val="24"/>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在中庭区</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的固定窗</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其总面积不小于中庭楼地面面积的</w:t>
      </w:r>
      <w:r>
        <w:rPr>
          <w:rFonts w:hint="eastAsia" w:ascii="宋体" w:hAnsi="宋体" w:eastAsia="宋体" w:cs="宋体"/>
          <w:color w:val="0D0D0D" w:themeColor="text1" w:themeTint="F2"/>
          <w:spacing w:val="38"/>
          <w:sz w:val="24"/>
          <w:szCs w:val="24"/>
          <w14:textFill>
            <w14:solidFill>
              <w14:schemeClr w14:val="tx1">
                <w14:lumMod w14:val="95000"/>
                <w14:lumOff w14:val="5000"/>
              </w14:schemeClr>
            </w14:solidFill>
          </w14:textFill>
        </w:rPr>
        <w:t>5%</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p>
    <w:p w14:paraId="1D6A803F">
      <w:pPr>
        <w:keepNext w:val="0"/>
        <w:keepLines/>
        <w:pageBreakBefore w:val="0"/>
        <w:wordWrap/>
        <w:topLinePunct w:val="0"/>
        <w:bidi w:val="0"/>
        <w:spacing w:line="288" w:lineRule="auto"/>
        <w:ind w:left="0" w:leftChars="0" w:right="0" w:rightChars="0" w:firstLine="480" w:firstLineChars="20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固定窗的设置情况见表6.3.2.2</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p>
    <w:p w14:paraId="3BEE98A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t>表</w:t>
      </w:r>
      <w:r>
        <w:rPr>
          <w:rFonts w:hint="eastAsia" w:ascii="宋体" w:hAnsi="宋体" w:eastAsia="宋体" w:cs="宋体"/>
          <w:snapToGrid w:val="0"/>
          <w:color w:val="0D0D0D" w:themeColor="text1" w:themeTint="F2"/>
          <w:spacing w:val="-4"/>
          <w:sz w:val="21"/>
          <w:szCs w:val="21"/>
          <w:lang w:val="en-US" w:eastAsia="zh-CN" w:bidi="ar-SA"/>
          <w14:textFill>
            <w14:solidFill>
              <w14:schemeClr w14:val="tx1">
                <w14:lumMod w14:val="95000"/>
                <w14:lumOff w14:val="5000"/>
              </w14:schemeClr>
            </w14:solidFill>
          </w14:textFill>
        </w:rPr>
        <w:t>6.3.2.2机械排烟场所固定窗</w:t>
      </w:r>
    </w:p>
    <w:tbl>
      <w:tblPr>
        <w:tblStyle w:val="10"/>
        <w:tblW w:w="8836" w:type="dxa"/>
        <w:jc w:val="center"/>
        <w:tblLayout w:type="fixed"/>
        <w:tblCellMar>
          <w:top w:w="0" w:type="dxa"/>
          <w:left w:w="0" w:type="dxa"/>
          <w:bottom w:w="0" w:type="dxa"/>
          <w:right w:w="0" w:type="dxa"/>
        </w:tblCellMar>
      </w:tblPr>
      <w:tblGrid>
        <w:gridCol w:w="723"/>
        <w:gridCol w:w="728"/>
        <w:gridCol w:w="730"/>
        <w:gridCol w:w="728"/>
        <w:gridCol w:w="1285"/>
        <w:gridCol w:w="814"/>
        <w:gridCol w:w="701"/>
        <w:gridCol w:w="788"/>
        <w:gridCol w:w="653"/>
        <w:gridCol w:w="939"/>
        <w:gridCol w:w="747"/>
      </w:tblGrid>
      <w:tr w14:paraId="2D102216">
        <w:tblPrEx>
          <w:tblCellMar>
            <w:top w:w="0" w:type="dxa"/>
            <w:left w:w="0" w:type="dxa"/>
            <w:bottom w:w="0" w:type="dxa"/>
            <w:right w:w="0" w:type="dxa"/>
          </w:tblCellMar>
        </w:tblPrEx>
        <w:trPr>
          <w:trHeight w:val="1405" w:hRule="exact"/>
          <w:jc w:val="center"/>
        </w:trPr>
        <w:tc>
          <w:tcPr>
            <w:tcW w:w="723" w:type="dxa"/>
            <w:tcBorders>
              <w:top w:val="single" w:color="000000" w:sz="2" w:space="0"/>
              <w:left w:val="single" w:color="000000" w:sz="2" w:space="0"/>
              <w:bottom w:val="single" w:color="000000" w:sz="2" w:space="0"/>
              <w:right w:val="single" w:color="000000" w:sz="2" w:space="0"/>
            </w:tcBorders>
            <w:vAlign w:val="center"/>
          </w:tcPr>
          <w:p w14:paraId="776F1A81">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设置场所</w:t>
            </w:r>
          </w:p>
        </w:tc>
        <w:tc>
          <w:tcPr>
            <w:tcW w:w="728" w:type="dxa"/>
            <w:tcBorders>
              <w:top w:val="single" w:color="000000" w:sz="2" w:space="0"/>
              <w:left w:val="single" w:color="000000" w:sz="2" w:space="0"/>
              <w:bottom w:val="single" w:color="000000" w:sz="2" w:space="0"/>
              <w:right w:val="single" w:color="000000" w:sz="2" w:space="0"/>
            </w:tcBorders>
            <w:vAlign w:val="center"/>
          </w:tcPr>
          <w:p w14:paraId="3A0F632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所在楼层</w:t>
            </w:r>
          </w:p>
        </w:tc>
        <w:tc>
          <w:tcPr>
            <w:tcW w:w="730" w:type="dxa"/>
            <w:tcBorders>
              <w:top w:val="single" w:color="000000" w:sz="2" w:space="0"/>
              <w:left w:val="single" w:color="000000" w:sz="2" w:space="0"/>
              <w:bottom w:val="single" w:color="000000" w:sz="2" w:space="0"/>
              <w:right w:val="single" w:color="000000" w:sz="2" w:space="0"/>
            </w:tcBorders>
            <w:vAlign w:val="center"/>
          </w:tcPr>
          <w:p w14:paraId="67381D3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层高(m)</w:t>
            </w:r>
          </w:p>
        </w:tc>
        <w:tc>
          <w:tcPr>
            <w:tcW w:w="728" w:type="dxa"/>
            <w:tcBorders>
              <w:top w:val="single" w:color="000000" w:sz="2" w:space="0"/>
              <w:left w:val="single" w:color="000000" w:sz="2" w:space="0"/>
              <w:bottom w:val="single" w:color="000000" w:sz="2" w:space="0"/>
              <w:right w:val="single" w:color="000000" w:sz="2" w:space="0"/>
            </w:tcBorders>
            <w:vAlign w:val="center"/>
          </w:tcPr>
          <w:p w14:paraId="24F3799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地面面积(㎡)</w:t>
            </w:r>
          </w:p>
        </w:tc>
        <w:tc>
          <w:tcPr>
            <w:tcW w:w="1285" w:type="dxa"/>
            <w:tcBorders>
              <w:top w:val="single" w:color="000000" w:sz="2" w:space="0"/>
              <w:left w:val="single" w:color="000000" w:sz="2" w:space="0"/>
              <w:bottom w:val="single" w:color="000000" w:sz="2" w:space="0"/>
              <w:right w:val="single" w:color="000000" w:sz="2" w:space="0"/>
            </w:tcBorders>
            <w:vAlign w:val="center"/>
          </w:tcPr>
          <w:p w14:paraId="1DC3AC2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设置部位</w:t>
            </w:r>
          </w:p>
        </w:tc>
        <w:tc>
          <w:tcPr>
            <w:tcW w:w="814" w:type="dxa"/>
            <w:tcBorders>
              <w:top w:val="single" w:color="000000" w:sz="2" w:space="0"/>
              <w:left w:val="single" w:color="000000" w:sz="2" w:space="0"/>
              <w:bottom w:val="single" w:color="000000" w:sz="2" w:space="0"/>
              <w:right w:val="single" w:color="000000" w:sz="2" w:space="0"/>
            </w:tcBorders>
            <w:vAlign w:val="center"/>
          </w:tcPr>
          <w:p w14:paraId="61E14B8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最小固定窗面积(㎡)</w:t>
            </w:r>
          </w:p>
        </w:tc>
        <w:tc>
          <w:tcPr>
            <w:tcW w:w="701" w:type="dxa"/>
            <w:tcBorders>
              <w:top w:val="single" w:color="000000" w:sz="2" w:space="0"/>
              <w:left w:val="single" w:color="000000" w:sz="2" w:space="0"/>
              <w:bottom w:val="single" w:color="000000" w:sz="2" w:space="0"/>
              <w:right w:val="single" w:color="000000" w:sz="2" w:space="0"/>
            </w:tcBorders>
            <w:vAlign w:val="center"/>
          </w:tcPr>
          <w:p w14:paraId="016BE1A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墙固定窗间距(m)</w:t>
            </w:r>
          </w:p>
        </w:tc>
        <w:tc>
          <w:tcPr>
            <w:tcW w:w="788" w:type="dxa"/>
            <w:tcBorders>
              <w:top w:val="single" w:color="000000" w:sz="2" w:space="0"/>
              <w:left w:val="single" w:color="000000" w:sz="2" w:space="0"/>
              <w:bottom w:val="single" w:color="000000" w:sz="2" w:space="0"/>
              <w:right w:val="single" w:color="000000" w:sz="2" w:space="0"/>
            </w:tcBorders>
            <w:vAlign w:val="center"/>
          </w:tcPr>
          <w:p w14:paraId="434C945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距室内地面(m)</w:t>
            </w:r>
          </w:p>
        </w:tc>
        <w:tc>
          <w:tcPr>
            <w:tcW w:w="653" w:type="dxa"/>
            <w:tcBorders>
              <w:top w:val="single" w:color="000000" w:sz="2" w:space="0"/>
              <w:left w:val="single" w:color="000000" w:sz="2" w:space="0"/>
              <w:bottom w:val="single" w:color="000000" w:sz="2" w:space="0"/>
              <w:right w:val="single" w:color="000000" w:sz="2" w:space="0"/>
            </w:tcBorders>
            <w:vAlign w:val="center"/>
          </w:tcPr>
          <w:p w14:paraId="109D58AF">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数量(个)</w:t>
            </w:r>
          </w:p>
        </w:tc>
        <w:tc>
          <w:tcPr>
            <w:tcW w:w="939" w:type="dxa"/>
            <w:tcBorders>
              <w:top w:val="single" w:color="000000" w:sz="2" w:space="0"/>
              <w:left w:val="single" w:color="000000" w:sz="2" w:space="0"/>
              <w:bottom w:val="single" w:color="000000" w:sz="2" w:space="0"/>
              <w:right w:val="single" w:color="000000" w:sz="2" w:space="0"/>
            </w:tcBorders>
            <w:vAlign w:val="center"/>
          </w:tcPr>
          <w:p w14:paraId="520E3B8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占地面积比值(%)</w:t>
            </w:r>
          </w:p>
        </w:tc>
        <w:tc>
          <w:tcPr>
            <w:tcW w:w="747" w:type="dxa"/>
            <w:tcBorders>
              <w:top w:val="single" w:color="000000" w:sz="2" w:space="0"/>
              <w:left w:val="single" w:color="000000" w:sz="2" w:space="0"/>
              <w:bottom w:val="single" w:color="000000" w:sz="2" w:space="0"/>
              <w:right w:val="single" w:color="000000" w:sz="2" w:space="0"/>
            </w:tcBorders>
            <w:vAlign w:val="center"/>
          </w:tcPr>
          <w:p w14:paraId="36BA6CC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备注</w:t>
            </w:r>
          </w:p>
        </w:tc>
      </w:tr>
      <w:tr w14:paraId="29A9582C">
        <w:tblPrEx>
          <w:tblCellMar>
            <w:top w:w="0" w:type="dxa"/>
            <w:left w:w="0" w:type="dxa"/>
            <w:bottom w:w="0" w:type="dxa"/>
            <w:right w:w="0" w:type="dxa"/>
          </w:tblCellMar>
        </w:tblPrEx>
        <w:trPr>
          <w:trHeight w:val="350" w:hRule="exact"/>
          <w:jc w:val="center"/>
        </w:trPr>
        <w:tc>
          <w:tcPr>
            <w:tcW w:w="723" w:type="dxa"/>
            <w:tcBorders>
              <w:top w:val="single" w:color="000000" w:sz="2" w:space="0"/>
              <w:left w:val="single" w:color="000000" w:sz="2" w:space="0"/>
              <w:bottom w:val="single" w:color="000000" w:sz="2" w:space="0"/>
              <w:right w:val="single" w:color="000000" w:sz="2" w:space="0"/>
            </w:tcBorders>
            <w:vAlign w:val="center"/>
          </w:tcPr>
          <w:p w14:paraId="7F35F3F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728" w:type="dxa"/>
            <w:tcBorders>
              <w:top w:val="single" w:color="000000" w:sz="2" w:space="0"/>
              <w:left w:val="single" w:color="000000" w:sz="2" w:space="0"/>
              <w:bottom w:val="single" w:color="000000" w:sz="2" w:space="0"/>
              <w:right w:val="single" w:color="000000" w:sz="2" w:space="0"/>
            </w:tcBorders>
            <w:vAlign w:val="center"/>
          </w:tcPr>
          <w:p w14:paraId="1189910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30" w:type="dxa"/>
            <w:tcBorders>
              <w:top w:val="single" w:color="000000" w:sz="2" w:space="0"/>
              <w:left w:val="single" w:color="000000" w:sz="2" w:space="0"/>
              <w:bottom w:val="single" w:color="000000" w:sz="2" w:space="0"/>
              <w:right w:val="single" w:color="000000" w:sz="2" w:space="0"/>
            </w:tcBorders>
            <w:vAlign w:val="center"/>
          </w:tcPr>
          <w:p w14:paraId="68308EE9">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28" w:type="dxa"/>
            <w:tcBorders>
              <w:top w:val="single" w:color="000000" w:sz="2" w:space="0"/>
              <w:left w:val="single" w:color="000000" w:sz="2" w:space="0"/>
              <w:bottom w:val="single" w:color="000000" w:sz="2" w:space="0"/>
              <w:right w:val="single" w:color="000000" w:sz="2" w:space="0"/>
            </w:tcBorders>
            <w:vAlign w:val="center"/>
          </w:tcPr>
          <w:p w14:paraId="5C9FD53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1285" w:type="dxa"/>
            <w:tcBorders>
              <w:top w:val="single" w:color="000000" w:sz="2" w:space="0"/>
              <w:left w:val="single" w:color="000000" w:sz="2" w:space="0"/>
              <w:bottom w:val="single" w:color="000000" w:sz="2" w:space="0"/>
              <w:right w:val="single" w:color="000000" w:sz="2" w:space="0"/>
            </w:tcBorders>
            <w:vAlign w:val="center"/>
          </w:tcPr>
          <w:p w14:paraId="76E483C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814" w:type="dxa"/>
            <w:tcBorders>
              <w:top w:val="single" w:color="000000" w:sz="2" w:space="0"/>
              <w:left w:val="single" w:color="000000" w:sz="2" w:space="0"/>
              <w:bottom w:val="single" w:color="000000" w:sz="2" w:space="0"/>
              <w:right w:val="single" w:color="000000" w:sz="2" w:space="0"/>
            </w:tcBorders>
            <w:vAlign w:val="center"/>
          </w:tcPr>
          <w:p w14:paraId="42F9CBD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01" w:type="dxa"/>
            <w:tcBorders>
              <w:top w:val="single" w:color="000000" w:sz="2" w:space="0"/>
              <w:left w:val="single" w:color="000000" w:sz="2" w:space="0"/>
              <w:bottom w:val="single" w:color="000000" w:sz="2" w:space="0"/>
              <w:right w:val="single" w:color="000000" w:sz="2" w:space="0"/>
            </w:tcBorders>
            <w:vAlign w:val="center"/>
          </w:tcPr>
          <w:p w14:paraId="4AE6721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88" w:type="dxa"/>
            <w:tcBorders>
              <w:top w:val="single" w:color="000000" w:sz="2" w:space="0"/>
              <w:left w:val="single" w:color="000000" w:sz="2" w:space="0"/>
              <w:bottom w:val="single" w:color="000000" w:sz="2" w:space="0"/>
              <w:right w:val="single" w:color="000000" w:sz="2" w:space="0"/>
            </w:tcBorders>
            <w:vAlign w:val="center"/>
          </w:tcPr>
          <w:p w14:paraId="52F2304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653" w:type="dxa"/>
            <w:tcBorders>
              <w:top w:val="single" w:color="000000" w:sz="2" w:space="0"/>
              <w:left w:val="single" w:color="000000" w:sz="2" w:space="0"/>
              <w:bottom w:val="single" w:color="000000" w:sz="2" w:space="0"/>
              <w:right w:val="single" w:color="000000" w:sz="2" w:space="0"/>
            </w:tcBorders>
            <w:vAlign w:val="center"/>
          </w:tcPr>
          <w:p w14:paraId="20503D27">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939" w:type="dxa"/>
            <w:tcBorders>
              <w:top w:val="single" w:color="000000" w:sz="2" w:space="0"/>
              <w:left w:val="single" w:color="000000" w:sz="2" w:space="0"/>
              <w:bottom w:val="single" w:color="000000" w:sz="2" w:space="0"/>
              <w:right w:val="single" w:color="000000" w:sz="2" w:space="0"/>
            </w:tcBorders>
            <w:vAlign w:val="center"/>
          </w:tcPr>
          <w:p w14:paraId="30D1B364">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47" w:type="dxa"/>
            <w:tcBorders>
              <w:top w:val="single" w:color="000000" w:sz="2" w:space="0"/>
              <w:left w:val="single" w:color="000000" w:sz="2" w:space="0"/>
              <w:bottom w:val="single" w:color="000000" w:sz="2" w:space="0"/>
              <w:right w:val="single" w:color="000000" w:sz="2" w:space="0"/>
            </w:tcBorders>
            <w:vAlign w:val="center"/>
          </w:tcPr>
          <w:p w14:paraId="0F3C2E52">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r w14:paraId="19110C48">
        <w:tblPrEx>
          <w:tblCellMar>
            <w:top w:w="0" w:type="dxa"/>
            <w:left w:w="0" w:type="dxa"/>
            <w:bottom w:w="0" w:type="dxa"/>
            <w:right w:w="0" w:type="dxa"/>
          </w:tblCellMar>
        </w:tblPrEx>
        <w:trPr>
          <w:trHeight w:val="350" w:hRule="exact"/>
          <w:jc w:val="center"/>
        </w:trPr>
        <w:tc>
          <w:tcPr>
            <w:tcW w:w="723" w:type="dxa"/>
            <w:tcBorders>
              <w:top w:val="single" w:color="000000" w:sz="2" w:space="0"/>
              <w:left w:val="single" w:color="000000" w:sz="2" w:space="0"/>
              <w:bottom w:val="single" w:color="000000" w:sz="2" w:space="0"/>
              <w:right w:val="single" w:color="000000" w:sz="2" w:space="0"/>
            </w:tcBorders>
            <w:vAlign w:val="center"/>
          </w:tcPr>
          <w:p w14:paraId="3597DC76">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t>/</w:t>
            </w:r>
          </w:p>
        </w:tc>
        <w:tc>
          <w:tcPr>
            <w:tcW w:w="728" w:type="dxa"/>
            <w:tcBorders>
              <w:top w:val="single" w:color="000000" w:sz="2" w:space="0"/>
              <w:left w:val="single" w:color="000000" w:sz="2" w:space="0"/>
              <w:bottom w:val="single" w:color="000000" w:sz="2" w:space="0"/>
              <w:right w:val="single" w:color="000000" w:sz="2" w:space="0"/>
            </w:tcBorders>
            <w:vAlign w:val="center"/>
          </w:tcPr>
          <w:p w14:paraId="2CF712D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30" w:type="dxa"/>
            <w:tcBorders>
              <w:top w:val="single" w:color="000000" w:sz="2" w:space="0"/>
              <w:left w:val="single" w:color="000000" w:sz="2" w:space="0"/>
              <w:bottom w:val="single" w:color="000000" w:sz="2" w:space="0"/>
              <w:right w:val="single" w:color="000000" w:sz="2" w:space="0"/>
            </w:tcBorders>
            <w:vAlign w:val="center"/>
          </w:tcPr>
          <w:p w14:paraId="3643376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28" w:type="dxa"/>
            <w:tcBorders>
              <w:top w:val="single" w:color="000000" w:sz="2" w:space="0"/>
              <w:left w:val="single" w:color="000000" w:sz="2" w:space="0"/>
              <w:bottom w:val="single" w:color="000000" w:sz="2" w:space="0"/>
              <w:right w:val="single" w:color="000000" w:sz="2" w:space="0"/>
            </w:tcBorders>
            <w:vAlign w:val="center"/>
          </w:tcPr>
          <w:p w14:paraId="146C3D6E">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1285" w:type="dxa"/>
            <w:tcBorders>
              <w:top w:val="single" w:color="000000" w:sz="2" w:space="0"/>
              <w:left w:val="single" w:color="000000" w:sz="2" w:space="0"/>
              <w:bottom w:val="single" w:color="000000" w:sz="2" w:space="0"/>
              <w:right w:val="single" w:color="000000" w:sz="2" w:space="0"/>
            </w:tcBorders>
            <w:vAlign w:val="center"/>
          </w:tcPr>
          <w:p w14:paraId="25CB4885">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814" w:type="dxa"/>
            <w:tcBorders>
              <w:top w:val="single" w:color="000000" w:sz="2" w:space="0"/>
              <w:left w:val="single" w:color="000000" w:sz="2" w:space="0"/>
              <w:bottom w:val="single" w:color="000000" w:sz="2" w:space="0"/>
              <w:right w:val="single" w:color="000000" w:sz="2" w:space="0"/>
            </w:tcBorders>
            <w:vAlign w:val="center"/>
          </w:tcPr>
          <w:p w14:paraId="7225530A">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01" w:type="dxa"/>
            <w:tcBorders>
              <w:top w:val="single" w:color="000000" w:sz="2" w:space="0"/>
              <w:left w:val="single" w:color="000000" w:sz="2" w:space="0"/>
              <w:bottom w:val="single" w:color="000000" w:sz="2" w:space="0"/>
              <w:right w:val="single" w:color="000000" w:sz="2" w:space="0"/>
            </w:tcBorders>
            <w:vAlign w:val="center"/>
          </w:tcPr>
          <w:p w14:paraId="071B7390">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88" w:type="dxa"/>
            <w:tcBorders>
              <w:top w:val="single" w:color="000000" w:sz="2" w:space="0"/>
              <w:left w:val="single" w:color="000000" w:sz="2" w:space="0"/>
              <w:bottom w:val="single" w:color="000000" w:sz="2" w:space="0"/>
              <w:right w:val="single" w:color="000000" w:sz="2" w:space="0"/>
            </w:tcBorders>
            <w:vAlign w:val="center"/>
          </w:tcPr>
          <w:p w14:paraId="60E1BD2B">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653" w:type="dxa"/>
            <w:tcBorders>
              <w:top w:val="single" w:color="000000" w:sz="2" w:space="0"/>
              <w:left w:val="single" w:color="000000" w:sz="2" w:space="0"/>
              <w:bottom w:val="single" w:color="000000" w:sz="2" w:space="0"/>
              <w:right w:val="single" w:color="000000" w:sz="2" w:space="0"/>
            </w:tcBorders>
            <w:vAlign w:val="center"/>
          </w:tcPr>
          <w:p w14:paraId="73A40A2D">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939" w:type="dxa"/>
            <w:tcBorders>
              <w:top w:val="single" w:color="000000" w:sz="2" w:space="0"/>
              <w:left w:val="single" w:color="000000" w:sz="2" w:space="0"/>
              <w:bottom w:val="single" w:color="000000" w:sz="2" w:space="0"/>
              <w:right w:val="single" w:color="000000" w:sz="2" w:space="0"/>
            </w:tcBorders>
            <w:vAlign w:val="center"/>
          </w:tcPr>
          <w:p w14:paraId="198BF1F3">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c>
          <w:tcPr>
            <w:tcW w:w="747" w:type="dxa"/>
            <w:tcBorders>
              <w:top w:val="single" w:color="000000" w:sz="2" w:space="0"/>
              <w:left w:val="single" w:color="000000" w:sz="2" w:space="0"/>
              <w:bottom w:val="single" w:color="000000" w:sz="2" w:space="0"/>
              <w:right w:val="single" w:color="000000" w:sz="2" w:space="0"/>
            </w:tcBorders>
            <w:vAlign w:val="center"/>
          </w:tcPr>
          <w:p w14:paraId="4626E86C">
            <w:pPr>
              <w:keepNext w:val="0"/>
              <w:keepLines/>
              <w:pageBreakBefore w:val="0"/>
              <w:wordWrap/>
              <w:topLinePunct w:val="0"/>
              <w:bidi w:val="0"/>
              <w:spacing w:line="288" w:lineRule="auto"/>
              <w:ind w:left="0" w:leftChars="0" w:right="0" w:rightChars="0" w:firstLine="0" w:firstLineChars="0"/>
              <w:jc w:val="center"/>
              <w:rPr>
                <w:rFonts w:hint="eastAsia" w:ascii="宋体" w:hAnsi="宋体" w:eastAsia="宋体" w:cs="宋体"/>
                <w:snapToGrid w:val="0"/>
                <w:color w:val="0D0D0D" w:themeColor="text1" w:themeTint="F2"/>
                <w:kern w:val="0"/>
                <w:sz w:val="21"/>
                <w:szCs w:val="21"/>
                <w:lang w:val="en-US" w:eastAsia="zh-CN"/>
                <w14:textFill>
                  <w14:solidFill>
                    <w14:schemeClr w14:val="tx1">
                      <w14:lumMod w14:val="95000"/>
                      <w14:lumOff w14:val="5000"/>
                    </w14:schemeClr>
                  </w14:solidFill>
                </w14:textFill>
              </w:rPr>
            </w:pPr>
          </w:p>
        </w:tc>
      </w:tr>
    </w:tbl>
    <w:p w14:paraId="1D5F5BDF">
      <w:pPr>
        <w:pStyle w:val="16"/>
        <w:keepNext w:val="0"/>
        <w:keepLines/>
        <w:pageBreakBefore w:val="0"/>
        <w:numPr>
          <w:ilvl w:val="0"/>
          <w:numId w:val="7"/>
        </w:numPr>
        <w:tabs>
          <w:tab w:val="left" w:pos="860"/>
        </w:tabs>
        <w:kinsoku w:val="0"/>
        <w:wordWrap/>
        <w:overflowPunct w:val="0"/>
        <w:topLinePunct w:val="0"/>
        <w:bidi w:val="0"/>
        <w:spacing w:before="0"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排烟做法</w:t>
      </w:r>
    </w:p>
    <w:p w14:paraId="32E7C51D">
      <w:pPr>
        <w:pStyle w:val="5"/>
        <w:keepNext w:val="0"/>
        <w:keepLines/>
        <w:pageBreakBefore w:val="0"/>
        <w:numPr>
          <w:ilvl w:val="3"/>
          <w:numId w:val="11"/>
        </w:numPr>
        <w:tabs>
          <w:tab w:val="left" w:pos="1134"/>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排烟系统的储烟仓厚度、清晰高度、烟层厚度、挡烟垂壁高度、排烟口最大允许排烟量等参数均满足规范要求，详平面图标注或剖面。本工程排烟系统在</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6"/>
          <w:sz w:val="24"/>
          <w:szCs w:val="24"/>
          <w:u w:val="single"/>
          <w:lang w:val="en-US" w:eastAsia="zh-CN"/>
          <w14:textFill>
            <w14:solidFill>
              <w14:schemeClr w14:val="tx1">
                <w14:lumMod w14:val="95000"/>
                <w14:lumOff w14:val="5000"/>
              </w14:schemeClr>
            </w14:solidFill>
          </w14:textFill>
        </w:rPr>
        <w:t>外墙</w:t>
      </w:r>
      <w:r>
        <w:rPr>
          <w:rFonts w:hint="eastAsia" w:ascii="宋体" w:hAnsi="宋体" w:eastAsia="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设置固定窗，具体详见建筑专业设计说明及图纸。</w:t>
      </w:r>
    </w:p>
    <w:p w14:paraId="56FC87B3">
      <w:pPr>
        <w:pStyle w:val="5"/>
        <w:keepNext w:val="0"/>
        <w:keepLines/>
        <w:pageBreakBefore w:val="0"/>
        <w:numPr>
          <w:ilvl w:val="3"/>
          <w:numId w:val="11"/>
        </w:numPr>
        <w:tabs>
          <w:tab w:val="left" w:pos="1134"/>
          <w:tab w:val="left" w:pos="1276"/>
        </w:tabs>
        <w:kinsoku w:val="0"/>
        <w:wordWrap/>
        <w:overflowPunct w:val="0"/>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本项目有竖向排烟系统，排烟系统水平方向按防火分区设置。排烟口距防烟分区最远端的距离最大为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27</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，距补风口大于</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5</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，排烟口与附近安全出口相邻边缘之间水平距离最小为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m。</w:t>
      </w:r>
    </w:p>
    <w:p w14:paraId="6715C9D3">
      <w:pPr>
        <w:pStyle w:val="5"/>
        <w:keepNext w:val="0"/>
        <w:keepLines/>
        <w:pageBreakBefore w:val="0"/>
        <w:widowControl/>
        <w:numPr>
          <w:ilvl w:val="3"/>
          <w:numId w:val="11"/>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6"/>
          <w:sz w:val="24"/>
          <w:szCs w:val="24"/>
          <w14:textFill>
            <w14:solidFill>
              <w14:schemeClr w14:val="tx1">
                <w14:lumMod w14:val="95000"/>
                <w14:lumOff w14:val="5000"/>
              </w14:schemeClr>
            </w14:solidFill>
          </w14:textFill>
        </w:rPr>
        <w:t xml:space="preserve">排烟风机应保证在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280</w:t>
      </w:r>
      <w:r>
        <w:rPr>
          <w:rFonts w:hint="eastAsia" w:ascii="宋体" w:hAnsi="宋体" w:eastAsia="宋体" w:cs="宋体"/>
          <w:color w:val="0D0D0D" w:themeColor="text1" w:themeTint="F2"/>
          <w:spacing w:val="-7"/>
          <w:sz w:val="24"/>
          <w:szCs w:val="24"/>
          <w14:textFill>
            <w14:solidFill>
              <w14:schemeClr w14:val="tx1">
                <w14:lumMod w14:val="95000"/>
                <w14:lumOff w14:val="5000"/>
              </w14:schemeClr>
            </w14:solidFill>
          </w14:textFill>
        </w:rPr>
        <w:t xml:space="preserve">℃时能连续工作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30min，采用专用排烟风机，在风</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 xml:space="preserve">机入口总管上设置当烟气温度超过 </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280℃时能自动关闭的排烟防火阀，排烟防</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火阀与排烟风机联锁。排烟管道及其连接部件应能在 280</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℃时连续运行</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30min仍保证其结构完整性。所有排烟、补风风机均分别设置在专用的风机房内。在</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 xml:space="preserve">排烟管道下列部位设置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280℃排烟防火阀：a</w:t>
      </w:r>
      <w:r>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t xml:space="preserve"> 垂直风管与每层水平风管交接处的水平管段上；b 一个排烟系统负担多个防烟分区的排烟支管上；</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c</w:t>
      </w:r>
      <w:r>
        <w:rPr>
          <w:rFonts w:hint="eastAsia" w:ascii="宋体" w:hAnsi="宋体" w:eastAsia="宋体" w:cs="宋体"/>
          <w:color w:val="0D0D0D" w:themeColor="text1" w:themeTint="F2"/>
          <w:spacing w:val="-9"/>
          <w:sz w:val="24"/>
          <w:szCs w:val="24"/>
          <w14:textFill>
            <w14:solidFill>
              <w14:schemeClr w14:val="tx1">
                <w14:lumMod w14:val="95000"/>
                <w14:lumOff w14:val="5000"/>
              </w14:schemeClr>
            </w14:solidFill>
          </w14:textFill>
        </w:rPr>
        <w:t xml:space="preserve"> 穿越防火分区处。</w:t>
      </w:r>
    </w:p>
    <w:p w14:paraId="5C680AB1">
      <w:pPr>
        <w:pStyle w:val="16"/>
        <w:keepNext w:val="0"/>
        <w:keepLines/>
        <w:pageBreakBefore w:val="0"/>
        <w:widowControl/>
        <w:numPr>
          <w:ilvl w:val="0"/>
          <w:numId w:val="0"/>
        </w:numPr>
        <w:tabs>
          <w:tab w:val="left" w:pos="567"/>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pPr>
    </w:p>
    <w:p w14:paraId="4C944CAB">
      <w:pPr>
        <w:pStyle w:val="16"/>
        <w:keepNext w:val="0"/>
        <w:keepLines/>
        <w:pageBreakBefore w:val="0"/>
        <w:widowControl/>
        <w:numPr>
          <w:ilvl w:val="0"/>
          <w:numId w:val="0"/>
        </w:numPr>
        <w:tabs>
          <w:tab w:val="left" w:pos="567"/>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t>6.4</w:t>
      </w:r>
      <w:r>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t>改造范围内防排烟系统控制</w:t>
      </w:r>
    </w:p>
    <w:p w14:paraId="2439AA72">
      <w:pPr>
        <w:pStyle w:val="16"/>
        <w:keepNext w:val="0"/>
        <w:keepLines/>
        <w:pageBreakBefore w:val="0"/>
        <w:widowControl/>
        <w:numPr>
          <w:ilvl w:val="2"/>
          <w:numId w:val="12"/>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8" w:name="6.4.1_防烟系统"/>
      <w:bookmarkEnd w:id="8"/>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防烟系统</w:t>
      </w:r>
      <w:bookmarkStart w:id="9" w:name="1_机械加压送风系统与火灾自动报警系统联动，加压送风机的启动符合下列规定："/>
      <w:bookmarkEnd w:id="9"/>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，机械加压送风系统与火灾自动报警系统联动，加压送风机的启动符合下列规定：</w:t>
      </w:r>
    </w:p>
    <w:p w14:paraId="04186E12">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 现场手动启动；</w:t>
      </w:r>
    </w:p>
    <w:p w14:paraId="32177ED5">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 通过火灾报警系统自动启动；</w:t>
      </w:r>
    </w:p>
    <w:p w14:paraId="730620DF">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3 消防控制室手动启动；</w:t>
      </w:r>
    </w:p>
    <w:p w14:paraId="503053B7">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4 系统中任一常闭加压送风口开启时，加压风机能自动启动。</w:t>
      </w:r>
    </w:p>
    <w:p w14:paraId="088B8BF3">
      <w:pPr>
        <w:pStyle w:val="16"/>
        <w:keepNext w:val="0"/>
        <w:keepLines/>
        <w:pageBreakBefore w:val="0"/>
        <w:widowControl/>
        <w:tabs>
          <w:tab w:val="left" w:pos="1105"/>
        </w:tabs>
        <w:kinsoku/>
        <w:wordWrap/>
        <w:overflowPunct/>
        <w:topLinePunct w:val="0"/>
        <w:autoSpaceDE w:val="0"/>
        <w:autoSpaceDN w:val="0"/>
        <w:bidi w:val="0"/>
        <w:adjustRightInd w:val="0"/>
        <w:snapToGrid w:val="0"/>
        <w:spacing w:before="0" w:line="288" w:lineRule="auto"/>
        <w:ind w:left="0" w:leftChars="0" w:right="0" w:rightChars="0" w:firstLine="472" w:firstLineChars="200"/>
        <w:jc w:val="left"/>
        <w:textAlignment w:val="baseline"/>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pPr>
      <w:bookmarkStart w:id="10" w:name="2_当防火分区内火灾确认后，在15s内联动开启常闭加压送风口和加压送风机，并符合"/>
      <w:bookmarkEnd w:id="10"/>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当防火分区内火灾确认后，在</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15s</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内联动开启常闭加压送风口和加压送风机，并符合下列规定：</w:t>
      </w:r>
    </w:p>
    <w:p w14:paraId="34969A86">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 开启该防火分区楼梯间的全部加压送风机；</w:t>
      </w:r>
    </w:p>
    <w:p w14:paraId="3A588368">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 开启该防火分区内着火层及其相邻上下层前室及合用前室的常闭送风口或常闭阀，同时开启加压风机。</w:t>
      </w:r>
    </w:p>
    <w:p w14:paraId="353C41C0">
      <w:pPr>
        <w:pStyle w:val="16"/>
        <w:keepNext w:val="0"/>
        <w:keepLines/>
        <w:pageBreakBefore w:val="0"/>
        <w:widowControl/>
        <w:numPr>
          <w:ilvl w:val="2"/>
          <w:numId w:val="13"/>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11" w:name="6.4.2_排烟系统"/>
      <w:bookmarkEnd w:id="11"/>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 排烟系统</w:t>
      </w:r>
    </w:p>
    <w:p w14:paraId="399EB1DC">
      <w:pPr>
        <w:pStyle w:val="5"/>
        <w:keepNext w:val="0"/>
        <w:keepLines/>
        <w:pageBreakBefore w:val="0"/>
        <w:widowControl/>
        <w:numPr>
          <w:ilvl w:val="3"/>
          <w:numId w:val="14"/>
        </w:numPr>
        <w:tabs>
          <w:tab w:val="left" w:pos="993"/>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pPr>
      <w:bookmarkStart w:id="12" w:name="1_机械排烟系统中的常闭排烟阀或排烟口具有火灾自动报警系统自动开启、消防控制室手"/>
      <w:bookmarkEnd w:id="12"/>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机械排烟系统中的常闭排烟阀或排烟口具有火灾自动报警系统自动开启、消防控制室手动开启和现场手动开启功能，其开启信号与排烟风机联动。火灾</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确认后，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15s</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内联动开启相应防烟分区内的所有排烟口</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t>窗、阀</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及系统，关闭其他区域的排烟口。30s</w:t>
      </w:r>
      <w:r>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t>内关闭与排烟无关的通风空调系统。当火灾确认后，负担两个及以上防烟分区的排烟系统，仅打开着火防烟分区的排烟阀或排烟口。</w:t>
      </w:r>
      <w:bookmarkStart w:id="13" w:name="2_排烟风机、补风风机的控制方式符合下列规定："/>
      <w:bookmarkEnd w:id="13"/>
    </w:p>
    <w:p w14:paraId="5B030B99">
      <w:pPr>
        <w:pStyle w:val="5"/>
        <w:keepNext w:val="0"/>
        <w:keepLines/>
        <w:pageBreakBefore w:val="0"/>
        <w:widowControl/>
        <w:numPr>
          <w:ilvl w:val="3"/>
          <w:numId w:val="14"/>
        </w:numPr>
        <w:tabs>
          <w:tab w:val="left" w:pos="993"/>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pacing w:val="-8"/>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排烟风机、补风风机的控制方式符合下列规定：</w:t>
      </w:r>
    </w:p>
    <w:p w14:paraId="56B7B72D">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1）现场手动启动；</w:t>
      </w:r>
    </w:p>
    <w:p w14:paraId="260126AE">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2）火灾自动报警系统自动启动；</w:t>
      </w:r>
    </w:p>
    <w:p w14:paraId="7F97DB21">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3）消防控制室手动启动；</w:t>
      </w:r>
    </w:p>
    <w:p w14:paraId="182DF5CA">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0"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4）系统中任一排烟阀或排烟口开启时，排烟风机、补风风机自动启动；排烟防火阀在280℃时应自行关闭，并连锁关闭排烟风机、补风风机。</w:t>
      </w:r>
    </w:p>
    <w:p w14:paraId="2DC74FBA">
      <w:pPr>
        <w:pStyle w:val="5"/>
        <w:keepNext w:val="0"/>
        <w:keepLines/>
        <w:pageBreakBefore w:val="0"/>
        <w:widowControl/>
        <w:numPr>
          <w:ilvl w:val="3"/>
          <w:numId w:val="14"/>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14" w:name="3_活动挡烟垂壁具有火灾自动报警系统自动启动和现场手动启动功能，当火灾确认后，火"/>
      <w:bookmarkEnd w:id="14"/>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活动挡烟垂壁具有火灾自动报警系统自动启动和现场手动启动功能，当火灾确认后，火灾自动报警系统应在15s内联动相应防烟分区的全部活动挡烟垂壁，60s以内挡烟垂壁应开启到位。</w:t>
      </w:r>
    </w:p>
    <w:p w14:paraId="3BA9CD06">
      <w:pPr>
        <w:pStyle w:val="5"/>
        <w:keepNext w:val="0"/>
        <w:keepLines/>
        <w:pageBreakBefore w:val="0"/>
        <w:widowControl/>
        <w:numPr>
          <w:ilvl w:val="3"/>
          <w:numId w:val="14"/>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15" w:name="4_自动排烟窗采用与火灾自动报警系统联动和温度释放装置联动的控制方式。采用与火灾"/>
      <w:bookmarkEnd w:id="15"/>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自动排烟窗采用与火灾自动报警系统联动和温度释放装置联动的控制方式。采用与火灾自动报警系统联动的自动排烟窗，在报警系统启动60s内开启。</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设置在高位不便于直接开启的自然排烟窗（口），应设置距地面高度1.3~1.5m的手动开启装置。</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带有温控功能自动排烟窗，其温控释放温度大于环境温度 30℃，且小于100℃。</w:t>
      </w:r>
    </w:p>
    <w:p w14:paraId="3F218C4A">
      <w:pPr>
        <w:pStyle w:val="16"/>
        <w:keepNext w:val="0"/>
        <w:keepLines/>
        <w:pageBreakBefore w:val="0"/>
        <w:widowControl/>
        <w:numPr>
          <w:ilvl w:val="0"/>
          <w:numId w:val="0"/>
        </w:numPr>
        <w:tabs>
          <w:tab w:val="left" w:pos="567"/>
          <w:tab w:val="left" w:pos="709"/>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pPr>
    </w:p>
    <w:p w14:paraId="4B7C1556">
      <w:pPr>
        <w:pStyle w:val="16"/>
        <w:keepNext w:val="0"/>
        <w:keepLines/>
        <w:pageBreakBefore w:val="0"/>
        <w:widowControl/>
        <w:numPr>
          <w:ilvl w:val="0"/>
          <w:numId w:val="0"/>
        </w:numPr>
        <w:tabs>
          <w:tab w:val="left" w:pos="567"/>
          <w:tab w:val="left" w:pos="709"/>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pPr>
      <w:bookmarkStart w:id="17" w:name="_GoBack"/>
      <w:bookmarkEnd w:id="17"/>
      <w:r>
        <w:rPr>
          <w:rFonts w:hint="eastAsia" w:ascii="宋体" w:hAnsi="宋体" w:eastAsia="宋体" w:cs="宋体"/>
          <w:bCs/>
          <w:snapToGrid w:val="0"/>
          <w:color w:val="0D0D0D" w:themeColor="text1" w:themeTint="F2"/>
          <w:sz w:val="24"/>
          <w:szCs w:val="24"/>
          <w:lang w:val="zh-CN" w:eastAsia="zh-CN" w:bidi="zh-CN"/>
          <w14:textFill>
            <w14:solidFill>
              <w14:schemeClr w14:val="tx1">
                <w14:lumMod w14:val="95000"/>
                <w14:lumOff w14:val="5000"/>
              </w14:schemeClr>
            </w14:solidFill>
          </w14:textFill>
        </w:rPr>
        <w:t>6.5</w:t>
      </w:r>
      <w:r>
        <w:rPr>
          <w:rFonts w:hint="eastAsia" w:ascii="宋体" w:hAnsi="宋体" w:eastAsia="宋体" w:cs="宋体"/>
          <w:bCs/>
          <w:snapToGrid w:val="0"/>
          <w:color w:val="0D0D0D" w:themeColor="text1" w:themeTint="F2"/>
          <w:sz w:val="24"/>
          <w:szCs w:val="24"/>
          <w:lang w:val="en-US" w:eastAsia="zh-CN" w:bidi="zh-CN"/>
          <w14:textFill>
            <w14:solidFill>
              <w14:schemeClr w14:val="tx1">
                <w14:lumMod w14:val="95000"/>
                <w14:lumOff w14:val="5000"/>
              </w14:schemeClr>
            </w14:solidFill>
          </w14:textFill>
        </w:rPr>
        <w:t xml:space="preserve"> </w:t>
      </w:r>
      <w:r>
        <w:rPr>
          <w:rFonts w:hint="eastAsia" w:ascii="宋体" w:hAnsi="宋体" w:eastAsia="宋体" w:cs="宋体"/>
          <w:bCs/>
          <w:color w:val="0D0D0D" w:themeColor="text1" w:themeTint="F2"/>
          <w:sz w:val="24"/>
          <w:szCs w:val="24"/>
          <w14:textFill>
            <w14:solidFill>
              <w14:schemeClr w14:val="tx1">
                <w14:lumMod w14:val="95000"/>
                <w14:lumOff w14:val="5000"/>
              </w14:schemeClr>
            </w14:solidFill>
          </w14:textFill>
        </w:rPr>
        <w:t>改造范围内其他消防设计</w:t>
      </w:r>
    </w:p>
    <w:p w14:paraId="66494E9A">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bookmarkStart w:id="16" w:name="6.5.1_暖通空调系统的防火措施，空调通风系统的防火、防爆措施等："/>
      <w:bookmarkEnd w:id="16"/>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本工程如涉及下列情况之一的，应进行详细的设计描述，该描述应至少包含但不限于系统形式及构成，主要技术参数，系统部件设置，关键技术做法等。</w:t>
      </w:r>
    </w:p>
    <w:p w14:paraId="01F96A1F">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6.5.1 暖通空调系统的防火措施，空调通风系统的防火、防爆措施等：</w:t>
      </w:r>
    </w:p>
    <w:p w14:paraId="56594393">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1 通风空调系统的水平方向均按防火分区独立设置。并在下列部位设置防火阀：</w:t>
      </w:r>
    </w:p>
    <w:p w14:paraId="30B9FA8B">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1）穿越防火分区处；</w:t>
      </w:r>
    </w:p>
    <w:p w14:paraId="301C55CF">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2）穿越通风、空调机房的房间隔墙和楼板处；穿越重要或火灾危险性大的场所的房间隔墙和楼板处；</w:t>
      </w:r>
    </w:p>
    <w:p w14:paraId="6389FA97">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3）穿越防火分隔处的变形缝两侧；</w:t>
      </w:r>
    </w:p>
    <w:p w14:paraId="5067E4CB">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4）竖向风管与每层水平风管交接处的水平管段上。</w:t>
      </w:r>
    </w:p>
    <w:p w14:paraId="4FC6836D">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2 各通风空调系统主管道上的防火阀与该系统的风机连锁，当防火阀自动关闭时，该风机断电。</w:t>
      </w:r>
    </w:p>
    <w:p w14:paraId="6C1372CC">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3 防火阀设独立的支吊架，穿越处风管上的防火阀、排烟防火阀两侧各 2米范围内的风管采用耐火风管或风管外壁采取防火保护措施，且耐火极限不小于防火分隔体的耐火极限。</w:t>
      </w:r>
    </w:p>
    <w:p w14:paraId="484EBCA2">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4 风管穿越封闭的防火、抗爆墙或楼板时，采用厚度 2.0mm 的钢制风管；管道穿过墙壁和楼板，设置金属套管。防烟、排烟、供暖、通风和空气调节系统中的管道及建筑内的其他管道，在穿越防火隔墙、楼板和防火墙处的孔隙采用符合《防火封堵材料 GB23864》要求的材料封堵。</w:t>
      </w:r>
    </w:p>
    <w:p w14:paraId="3D15F981">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5 为防止地震时风管系统及空调管道系统失效及跌落造成人员伤亡及财产损失，根据抗震规范相关条文，对机电管线进行抗震加固。</w:t>
      </w:r>
    </w:p>
    <w:p w14:paraId="7604BF60">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6 消防专用风机设在混凝土或钢架基础上，且不设置减振装置，排烟风管法兰垫片采用不燃材料。若排烟系统与通风合用且需设置减震装置时，减震垫也采用不燃材料。</w:t>
      </w:r>
    </w:p>
    <w:p w14:paraId="1FD6125E">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84" w:firstLineChars="20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7 通风和空调系统的管材、消声、绝热均采用不燃、难燃材料制作。当吊顶内有可燃物时，排烟管采用 40mm 厚玻璃棉板隔热，并与可燃物保持至少150mm 的距离。</w:t>
      </w:r>
    </w:p>
    <w:p w14:paraId="1F184C2C">
      <w:pPr>
        <w:pStyle w:val="16"/>
        <w:keepNext w:val="0"/>
        <w:keepLines/>
        <w:pageBreakBefore w:val="0"/>
        <w:widowControl/>
        <w:numPr>
          <w:ilvl w:val="0"/>
          <w:numId w:val="15"/>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锅炉房泄爆、事故通风要求</w:t>
      </w:r>
    </w:p>
    <w:p w14:paraId="7939939F">
      <w:pPr>
        <w:pStyle w:val="5"/>
        <w:keepNext w:val="0"/>
        <w:keepLines/>
        <w:pageBreakBefore w:val="0"/>
        <w:widowControl/>
        <w:numPr>
          <w:ilvl w:val="3"/>
          <w:numId w:val="16"/>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工</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程采用</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锅</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炉</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台</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燃料</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锅</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炉房</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位</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面</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积</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w w:val="101"/>
          <w:sz w:val="24"/>
          <w:szCs w:val="24"/>
          <w:vertAlign w:val="superscript"/>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置泄</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爆</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口</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w w:val="101"/>
          <w:sz w:val="24"/>
          <w:szCs w:val="24"/>
          <w:vertAlign w:val="superscript"/>
          <w14:textFill>
            <w14:solidFill>
              <w14:schemeClr w14:val="tx1">
                <w14:lumMod w14:val="95000"/>
                <w14:lumOff w14:val="5000"/>
              </w14:schemeClr>
            </w14:solidFill>
          </w14:textFill>
        </w:rPr>
        <w:t>2</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和</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独</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立出</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口</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，并</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且</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与人</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员</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密集</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所不</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贴</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泄</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爆口面</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对</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区域。燃气系统由业主另行委托设计。</w:t>
      </w:r>
    </w:p>
    <w:p w14:paraId="6B97CC72">
      <w:pPr>
        <w:pStyle w:val="5"/>
        <w:keepNext w:val="0"/>
        <w:keepLines/>
        <w:pageBreakBefore w:val="0"/>
        <w:widowControl/>
        <w:numPr>
          <w:ilvl w:val="3"/>
          <w:numId w:val="16"/>
        </w:numPr>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筑</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有</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燃气</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密</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闭</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房间</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和</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走</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均设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有</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燃</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气</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泄</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漏</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探测</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及</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事故排风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当燃</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气</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度</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超过</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额</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定标</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准</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事故</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开启</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，事故排风量按换气次数不少于</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12</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次/h,</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同</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时紧急</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关闭</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快速切断</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阀</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设备</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选</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防爆</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型</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。事</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故</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系统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不得</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消</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油</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统共用，燃气泄漏报警器与对应的事故排风系统联动。</w:t>
      </w:r>
    </w:p>
    <w:p w14:paraId="43F90226">
      <w:pPr>
        <w:pStyle w:val="5"/>
        <w:keepNext w:val="0"/>
        <w:keepLines/>
        <w:pageBreakBefore w:val="0"/>
        <w:widowControl/>
        <w:numPr>
          <w:ilvl w:val="3"/>
          <w:numId w:val="16"/>
        </w:numPr>
        <w:tabs>
          <w:tab w:val="left" w:pos="1276"/>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对可能突然放散大量有毒气体、有爆炸危险气体或粉尘的场所，应根据工艺设计要求设置事故通风系统。</w:t>
      </w:r>
    </w:p>
    <w:p w14:paraId="2956410E">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事故通风系统的设置应符合下列规定：</w:t>
      </w:r>
    </w:p>
    <w:p w14:paraId="3283B8EF">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1）放散有爆炸危险的可燃气体、粉尘或气溶胶等物质时，应设置防爆通风系统或诱导式事故排风系统；</w:t>
      </w:r>
    </w:p>
    <w:p w14:paraId="21742F9B">
      <w:pPr>
        <w:pStyle w:val="5"/>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2）具有自然通风的单层建筑物，所放散的可燃气体密度小于室内空气密度时，宜设置事故送风系统；</w:t>
      </w:r>
    </w:p>
    <w:p w14:paraId="3FA1C0A6">
      <w:pPr>
        <w:keepNext w:val="0"/>
        <w:keepLines/>
        <w:pageBreakBefore w:val="0"/>
        <w:widowControl/>
        <w:numPr>
          <w:ilvl w:val="0"/>
          <w:numId w:val="0"/>
        </w:numPr>
        <w:tabs>
          <w:tab w:val="left" w:pos="1134"/>
        </w:tabs>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default" w:ascii="宋体" w:hAnsi="宋体" w:eastAsia="宋体" w:cs="宋体"/>
          <w:snapToGrid w:val="0"/>
          <w:color w:val="0D0D0D" w:themeColor="text1" w:themeTint="F2"/>
          <w:spacing w:val="2"/>
          <w:w w:val="101"/>
          <w:sz w:val="24"/>
          <w:szCs w:val="24"/>
          <w:lang w:val="zh-CN" w:eastAsia="zh-CN" w:bidi="ar-SA"/>
          <w14:textFill>
            <w14:solidFill>
              <w14:schemeClr w14:val="tx1">
                <w14:lumMod w14:val="95000"/>
                <w14:lumOff w14:val="5000"/>
              </w14:schemeClr>
            </w14:solidFill>
          </w14:textFill>
        </w:rPr>
        <w:t>3）</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事故通风可由经常使用的通风系统和事故通风系统共同保证。</w:t>
      </w:r>
    </w:p>
    <w:p w14:paraId="4EC88EE3">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事故排风的排风口应符合下列规定：</w:t>
      </w:r>
    </w:p>
    <w:p w14:paraId="2CB1F2A7">
      <w:pPr>
        <w:pStyle w:val="16"/>
        <w:keepNext w:val="0"/>
        <w:keepLines/>
        <w:pageBreakBefore w:val="0"/>
        <w:widowControl/>
        <w:numPr>
          <w:ilvl w:val="1"/>
          <w:numId w:val="0"/>
        </w:numPr>
        <w:kinsoku/>
        <w:wordWrap/>
        <w:overflowPunct/>
        <w:topLinePunct w:val="0"/>
        <w:autoSpaceDE w:val="0"/>
        <w:autoSpaceDN w:val="0"/>
        <w:bidi w:val="0"/>
        <w:adjustRightInd w:val="0"/>
        <w:snapToGrid w:val="0"/>
        <w:spacing w:before="0"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snapToGrid w:val="0"/>
          <w:color w:val="0D0D0D" w:themeColor="text1" w:themeTint="F2"/>
          <w:spacing w:val="2"/>
          <w:w w:val="101"/>
          <w:sz w:val="24"/>
          <w:szCs w:val="24"/>
          <w:lang w:val="en-US" w:eastAsia="zh-CN" w:bidi="zh-CN"/>
          <w14:textFill>
            <w14:solidFill>
              <w14:schemeClr w14:val="tx1">
                <w14:lumMod w14:val="95000"/>
                <w14:lumOff w14:val="5000"/>
              </w14:schemeClr>
            </w14:solidFill>
          </w14:textFill>
        </w:rPr>
        <w:t>1</w:t>
      </w:r>
      <w:r>
        <w:rPr>
          <w:rFonts w:hint="default" w:ascii="宋体" w:hAnsi="宋体" w:eastAsia="宋体" w:cs="宋体"/>
          <w:snapToGrid w:val="0"/>
          <w:color w:val="0D0D0D" w:themeColor="text1" w:themeTint="F2"/>
          <w:spacing w:val="2"/>
          <w:w w:val="101"/>
          <w:sz w:val="24"/>
          <w:szCs w:val="24"/>
          <w:lang w:val="zh-CN" w:eastAsia="zh-CN" w:bidi="zh-CN"/>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不应布置在人员经常停留或经常通行的地点。</w:t>
      </w:r>
    </w:p>
    <w:p w14:paraId="4943C61C">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2）排风口与机械送风系统的进风口的水平距离不应小于20m；当水平距离不足20m时，排风口应高于进风口，并不得小于6m。</w:t>
      </w:r>
    </w:p>
    <w:p w14:paraId="0B642BC7">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3）当排气中含有可燃气体时，事故通风系统排风口距可能火花溅落地点应大于20m。</w:t>
      </w:r>
    </w:p>
    <w:p w14:paraId="0C9E28C9">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492" w:firstLineChars="200"/>
        <w:jc w:val="left"/>
        <w:textAlignment w:val="baseline"/>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4）排风口不得朝向室外空气动力阴影区和正压区。</w:t>
      </w:r>
    </w:p>
    <w:p w14:paraId="3EE665CF">
      <w:pPr>
        <w:pStyle w:val="16"/>
        <w:keepNext w:val="0"/>
        <w:keepLines/>
        <w:pageBreakBefore w:val="0"/>
        <w:widowControl/>
        <w:numPr>
          <w:ilvl w:val="0"/>
          <w:numId w:val="15"/>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电气设备用房通风系统设计</w:t>
      </w:r>
    </w:p>
    <w:p w14:paraId="0B78F4F4">
      <w:pPr>
        <w:pStyle w:val="5"/>
        <w:keepNext w:val="0"/>
        <w:keepLines/>
        <w:pageBreakBefore w:val="0"/>
        <w:widowControl/>
        <w:numPr>
          <w:ilvl w:val="3"/>
          <w:numId w:val="17"/>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柴油发</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机房及储油间</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置平时机械</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通</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风系统，储油</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间</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储存</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spacing w:val="5"/>
          <w:w w:val="126"/>
          <w:sz w:val="24"/>
          <w:szCs w:val="24"/>
          <w14:textFill>
            <w14:solidFill>
              <w14:schemeClr w14:val="tx1">
                <w14:lumMod w14:val="95000"/>
                <w14:lumOff w14:val="5000"/>
              </w14:schemeClr>
            </w14:solidFill>
          </w14:textFill>
        </w:rPr>
        <w:t>³</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柴油</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p>
    <w:p w14:paraId="62448519">
      <w:pPr>
        <w:pStyle w:val="5"/>
        <w:keepNext w:val="0"/>
        <w:keepLines/>
        <w:pageBreakBefore w:val="0"/>
        <w:widowControl/>
        <w:numPr>
          <w:ilvl w:val="3"/>
          <w:numId w:val="17"/>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储油</w:t>
      </w:r>
      <w:r>
        <w:rPr>
          <w:rFonts w:hint="eastAsia" w:ascii="宋体" w:hAnsi="宋体" w:eastAsia="宋体" w:cs="宋体"/>
          <w:color w:val="0D0D0D" w:themeColor="text1" w:themeTint="F2"/>
          <w:spacing w:val="10"/>
          <w:w w:val="101"/>
          <w:position w:val="-4"/>
          <w:sz w:val="24"/>
          <w:szCs w:val="24"/>
          <w14:textFill>
            <w14:solidFill>
              <w14:schemeClr w14:val="tx1">
                <w14:lumMod w14:val="95000"/>
                <w14:lumOff w14:val="5000"/>
              </w14:schemeClr>
            </w14:solidFill>
          </w14:textFill>
        </w:rPr>
        <w:t>间</w:t>
      </w: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油箱上设</w:t>
      </w:r>
      <w:r>
        <w:rPr>
          <w:rFonts w:hint="eastAsia" w:ascii="宋体" w:hAnsi="宋体" w:eastAsia="宋体" w:cs="宋体"/>
          <w:color w:val="0D0D0D" w:themeColor="text1" w:themeTint="F2"/>
          <w:spacing w:val="10"/>
          <w:w w:val="101"/>
          <w:position w:val="-4"/>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通向室外</w:t>
      </w:r>
      <w:r>
        <w:rPr>
          <w:rFonts w:hint="eastAsia" w:ascii="宋体" w:hAnsi="宋体" w:eastAsia="宋体" w:cs="宋体"/>
          <w:color w:val="0D0D0D" w:themeColor="text1" w:themeTint="F2"/>
          <w:spacing w:val="10"/>
          <w:w w:val="101"/>
          <w:position w:val="-4"/>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通气管</w:t>
      </w:r>
      <w:r>
        <w:rPr>
          <w:rFonts w:hint="eastAsia" w:ascii="宋体" w:hAnsi="宋体" w:eastAsia="宋体" w:cs="宋体"/>
          <w:color w:val="0D0D0D" w:themeColor="text1" w:themeTint="F2"/>
          <w:spacing w:val="10"/>
          <w:w w:val="101"/>
          <w:position w:val="-4"/>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通气管上</w:t>
      </w:r>
      <w:r>
        <w:rPr>
          <w:rFonts w:hint="eastAsia" w:ascii="宋体" w:hAnsi="宋体" w:eastAsia="宋体" w:cs="宋体"/>
          <w:color w:val="0D0D0D" w:themeColor="text1" w:themeTint="F2"/>
          <w:spacing w:val="10"/>
          <w:w w:val="101"/>
          <w:position w:val="-4"/>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7"/>
          <w:w w:val="101"/>
          <w:position w:val="-4"/>
          <w:sz w:val="24"/>
          <w:szCs w:val="24"/>
          <w14:textFill>
            <w14:solidFill>
              <w14:schemeClr w14:val="tx1">
                <w14:lumMod w14:val="95000"/>
                <w14:lumOff w14:val="5000"/>
              </w14:schemeClr>
            </w14:solidFill>
          </w14:textFill>
        </w:rPr>
        <w:t>置带阻火器的呼吸阀。</w:t>
      </w:r>
    </w:p>
    <w:p w14:paraId="73E1E9A4">
      <w:pPr>
        <w:pStyle w:val="5"/>
        <w:keepNext w:val="0"/>
        <w:keepLines/>
        <w:pageBreakBefore w:val="0"/>
        <w:widowControl/>
        <w:numPr>
          <w:ilvl w:val="3"/>
          <w:numId w:val="17"/>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气设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房</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机械</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通</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气</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备</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房作</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重</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要</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设备房火</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灾</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用气</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灭</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穿</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越气</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护</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区的</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通</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路上</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远</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控自</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关</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闭</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并自动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复</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位</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电动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阀</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灾</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时电</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信</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号</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关</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闭电</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阀，</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释</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气</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体灭</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气</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体灭火</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复</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位</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电动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火阀</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就</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地</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手动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或</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动</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开启</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进</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进</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行气体灭火后通风，排除残余的灭火气体。</w:t>
      </w:r>
    </w:p>
    <w:p w14:paraId="1F5B06D4">
      <w:pPr>
        <w:pStyle w:val="16"/>
        <w:keepNext w:val="0"/>
        <w:keepLines/>
        <w:pageBreakBefore w:val="0"/>
        <w:widowControl/>
        <w:numPr>
          <w:ilvl w:val="0"/>
          <w:numId w:val="15"/>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风道材质、防火耐火设计</w:t>
      </w:r>
    </w:p>
    <w:p w14:paraId="032EBA4D">
      <w:pPr>
        <w:pStyle w:val="5"/>
        <w:keepNext w:val="0"/>
        <w:keepLines/>
        <w:pageBreakBefore w:val="0"/>
        <w:widowControl/>
        <w:numPr>
          <w:ilvl w:val="3"/>
          <w:numId w:val="18"/>
        </w:numPr>
        <w:tabs>
          <w:tab w:val="left" w:pos="1134"/>
          <w:tab w:val="left" w:pos="1276"/>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械</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加</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压</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送风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系</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用</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非</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土建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不燃</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材</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料</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制</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作</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管道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壁</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光</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滑。当</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送</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管道</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壁</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金属</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部</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分设</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计</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不大于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20</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m/s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送风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壁为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非</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金属</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部</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设计</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速</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不大</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m/s；</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送</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风管</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厚</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度</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应符</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合</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现行</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国</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家</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准《</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通</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风与空调工程施工质量验收规</w:t>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范》GB50243的规定</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p>
    <w:p w14:paraId="0DCD112E">
      <w:pPr>
        <w:pStyle w:val="5"/>
        <w:keepNext w:val="0"/>
        <w:keepLines/>
        <w:pageBreakBefore w:val="0"/>
        <w:widowControl/>
        <w:numPr>
          <w:ilvl w:val="3"/>
          <w:numId w:val="18"/>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加</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压</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送</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管道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耐</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火</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极</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限</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要</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求：</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未</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在管</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井</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或</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其他</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合</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用管道</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井的加压送风管道不小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h；加压送风管道设置在密实吊顶内不小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1"/>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1"/>
          <w:sz w:val="24"/>
          <w:szCs w:val="24"/>
          <w:u w:val="single"/>
          <w:lang w:val="en-US" w:eastAsia="zh-CN"/>
          <w14:textFill>
            <w14:solidFill>
              <w14:schemeClr w14:val="tx1">
                <w14:lumMod w14:val="95000"/>
                <w14:lumOff w14:val="5000"/>
              </w14:schemeClr>
            </w14:solidFill>
          </w14:textFill>
        </w:rPr>
        <w:t>0.5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w w:val="85"/>
          <w:sz w:val="24"/>
          <w:szCs w:val="24"/>
          <w14:textFill>
            <w14:solidFill>
              <w14:schemeClr w14:val="tx1">
                <w14:lumMod w14:val="95000"/>
                <w14:lumOff w14:val="5000"/>
              </w14:schemeClr>
            </w14:solidFill>
          </w14:textFill>
        </w:rPr>
        <w:t>h</w:t>
      </w:r>
      <w:r>
        <w:rPr>
          <w:rFonts w:hint="eastAsia" w:ascii="宋体" w:hAnsi="宋体" w:eastAsia="宋体" w:cs="宋体"/>
          <w:color w:val="0D0D0D" w:themeColor="text1" w:themeTint="F2"/>
          <w:w w:val="147"/>
          <w:sz w:val="24"/>
          <w:szCs w:val="24"/>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当未设置在密实吊顶内不小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h。设置加压送风口的风速不小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m/s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p>
    <w:p w14:paraId="3A3249B8">
      <w:pPr>
        <w:pStyle w:val="5"/>
        <w:keepNext w:val="0"/>
        <w:keepLines/>
        <w:pageBreakBefore w:val="0"/>
        <w:widowControl/>
        <w:numPr>
          <w:ilvl w:val="3"/>
          <w:numId w:val="18"/>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机械</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烟系统采</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用</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非土建风</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，不燃</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材</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料制作，</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道内壁光</w:t>
      </w:r>
      <w:r>
        <w:rPr>
          <w:rFonts w:hint="eastAsia" w:ascii="宋体" w:hAnsi="宋体" w:eastAsia="宋体" w:cs="宋体"/>
          <w:color w:val="0D0D0D" w:themeColor="text1" w:themeTint="F2"/>
          <w:spacing w:val="10"/>
          <w:w w:val="101"/>
          <w:sz w:val="24"/>
          <w:szCs w:val="24"/>
          <w14:textFill>
            <w14:solidFill>
              <w14:schemeClr w14:val="tx1">
                <w14:lumMod w14:val="95000"/>
                <w14:lumOff w14:val="5000"/>
              </w14:schemeClr>
            </w14:solidFill>
          </w14:textFill>
        </w:rPr>
        <w:t>滑</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烟</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管道</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壁</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金属</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制</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作时</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其</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计风</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不大于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20</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m/s；</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非金</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属</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制</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作</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其</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计风</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大</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7"/>
          <w:w w:val="101"/>
          <w:sz w:val="24"/>
          <w:szCs w:val="24"/>
          <w14:textFill>
            <w14:solidFill>
              <w14:schemeClr w14:val="tx1">
                <w14:lumMod w14:val="95000"/>
                <w14:lumOff w14:val="5000"/>
              </w14:schemeClr>
            </w14:solidFill>
          </w14:textFill>
        </w:rPr>
        <w:t>m/s；排</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烟管</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厚</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度</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按现</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行</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国家</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标</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准</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通风</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空调</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工</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程施工质量验收规范》</w:t>
      </w:r>
      <w:r>
        <w:rPr>
          <w:rFonts w:hint="eastAsia" w:ascii="宋体" w:hAnsi="宋体" w:eastAsia="宋体" w:cs="宋体"/>
          <w:color w:val="0D0D0D" w:themeColor="text1" w:themeTint="F2"/>
          <w:w w:val="75"/>
          <w:sz w:val="24"/>
          <w:szCs w:val="24"/>
          <w14:textFill>
            <w14:solidFill>
              <w14:schemeClr w14:val="tx1">
                <w14:lumMod w14:val="95000"/>
                <w14:lumOff w14:val="5000"/>
              </w14:schemeClr>
            </w14:solidFill>
          </w14:textFill>
        </w:rPr>
        <w:t>G</w:t>
      </w:r>
      <w:r>
        <w:rPr>
          <w:rFonts w:hint="eastAsia" w:ascii="宋体" w:hAnsi="宋体" w:eastAsia="宋体" w:cs="宋体"/>
          <w:color w:val="0D0D0D" w:themeColor="text1" w:themeTint="F2"/>
          <w:w w:val="86"/>
          <w:sz w:val="24"/>
          <w:szCs w:val="24"/>
          <w14:textFill>
            <w14:solidFill>
              <w14:schemeClr w14:val="tx1">
                <w14:lumMod w14:val="95000"/>
                <w14:lumOff w14:val="5000"/>
              </w14:schemeClr>
            </w14:solidFill>
          </w14:textFill>
        </w:rPr>
        <w:t>B</w:t>
      </w:r>
      <w:r>
        <w:rPr>
          <w:rFonts w:hint="eastAsia" w:ascii="宋体" w:hAnsi="宋体" w:eastAsia="宋体" w:cs="宋体"/>
          <w:color w:val="0D0D0D" w:themeColor="text1" w:themeTint="F2"/>
          <w:w w:val="91"/>
          <w:sz w:val="24"/>
          <w:szCs w:val="24"/>
          <w14:textFill>
            <w14:solidFill>
              <w14:schemeClr w14:val="tx1">
                <w14:lumMod w14:val="95000"/>
                <w14:lumOff w14:val="5000"/>
              </w14:schemeClr>
            </w14:solidFill>
          </w14:textFill>
        </w:rPr>
        <w:t>50243</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的有关规定执行。</w:t>
      </w:r>
    </w:p>
    <w:p w14:paraId="2BA1454D">
      <w:pPr>
        <w:pStyle w:val="5"/>
        <w:keepNext w:val="0"/>
        <w:keepLines/>
        <w:pageBreakBefore w:val="0"/>
        <w:widowControl/>
        <w:numPr>
          <w:ilvl w:val="3"/>
          <w:numId w:val="18"/>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烟</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耐火</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极</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限</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要</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求：</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独</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立</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道井</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内</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的</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烟管</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不</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小</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0.5</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h</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5"/>
          <w:sz w:val="24"/>
          <w:szCs w:val="24"/>
          <w14:textFill>
            <w14:solidFill>
              <w14:schemeClr w14:val="tx1">
                <w14:lumMod w14:val="95000"/>
                <w14:lumOff w14:val="5000"/>
              </w14:schemeClr>
            </w14:solidFill>
          </w14:textFill>
        </w:rPr>
        <w:t>排</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烟管道设置在密实吊顶内不小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0.5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h；直接设置在室内的排烟管道不小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h；设</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置</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在走</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吊</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顶</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内以</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及</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穿越</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防</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火分</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区</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的排</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管</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道</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1</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设</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备用</w:t>
      </w: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房</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和汽车库的排烟管道不小</w:t>
      </w:r>
      <w:r>
        <w:rPr>
          <w:rFonts w:hint="eastAsia" w:ascii="宋体" w:hAnsi="宋体" w:eastAsia="宋体" w:cs="宋体"/>
          <w:color w:val="0D0D0D" w:themeColor="text1" w:themeTint="F2"/>
          <w:spacing w:val="-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pacing w:val="-1"/>
          <w:sz w:val="24"/>
          <w:szCs w:val="24"/>
          <w:lang w:val="en-US" w:eastAsia="zh-CN"/>
          <w14:textFill>
            <w14:solidFill>
              <w14:schemeClr w14:val="tx1">
                <w14:lumMod w14:val="95000"/>
                <w14:lumOff w14:val="5000"/>
              </w14:schemeClr>
            </w14:solidFill>
          </w14:textFill>
        </w:rPr>
        <w:t>0.5</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h。</w:t>
      </w:r>
    </w:p>
    <w:p w14:paraId="2965213F">
      <w:pPr>
        <w:pStyle w:val="5"/>
        <w:keepNext w:val="0"/>
        <w:keepLines/>
        <w:pageBreakBefore w:val="0"/>
        <w:widowControl/>
        <w:numPr>
          <w:ilvl w:val="3"/>
          <w:numId w:val="18"/>
        </w:numPr>
        <w:tabs>
          <w:tab w:val="left" w:pos="1134"/>
        </w:tabs>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设置排烟风口的风速不大于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w w:val="56"/>
          <w:sz w:val="24"/>
          <w:szCs w:val="24"/>
          <w14:textFill>
            <w14:solidFill>
              <w14:schemeClr w14:val="tx1">
                <w14:lumMod w14:val="95000"/>
                <w14:lumOff w14:val="5000"/>
              </w14:schemeClr>
            </w14:solidFill>
          </w14:textFill>
        </w:rPr>
        <w:t>m</w:t>
      </w:r>
      <w:r>
        <w:rPr>
          <w:rFonts w:hint="eastAsia" w:ascii="宋体" w:hAnsi="宋体" w:eastAsia="宋体" w:cs="宋体"/>
          <w:color w:val="0D0D0D" w:themeColor="text1" w:themeTint="F2"/>
          <w:w w:val="108"/>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10"/>
          <w:sz w:val="24"/>
          <w:szCs w:val="24"/>
          <w14:textFill>
            <w14:solidFill>
              <w14:schemeClr w14:val="tx1">
                <w14:lumMod w14:val="95000"/>
                <w14:lumOff w14:val="5000"/>
              </w14:schemeClr>
            </w14:solidFill>
          </w14:textFill>
        </w:rPr>
        <w:t>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，设置机械补风口风速不大于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10</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m/</w:t>
      </w:r>
      <w:r>
        <w:rPr>
          <w:rFonts w:hint="eastAsia" w:ascii="宋体" w:hAnsi="宋体" w:eastAsia="宋体" w:cs="宋体"/>
          <w:color w:val="0D0D0D" w:themeColor="text1" w:themeTint="F2"/>
          <w:w w:val="110"/>
          <w:sz w:val="24"/>
          <w:szCs w:val="24"/>
          <w14:textFill>
            <w14:solidFill>
              <w14:schemeClr w14:val="tx1">
                <w14:lumMod w14:val="95000"/>
                <w14:lumOff w14:val="5000"/>
              </w14:schemeClr>
            </w14:solidFill>
          </w14:textFill>
        </w:rPr>
        <w:t>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人</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员</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密</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集场</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所</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补</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口</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速不</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大</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w w:val="101"/>
          <w:sz w:val="24"/>
          <w:szCs w:val="24"/>
          <w:lang w:val="en-US" w:eastAsia="zh-CN"/>
          <w14:textFill>
            <w14:solidFill>
              <w14:schemeClr w14:val="tx1">
                <w14:lumMod w14:val="95000"/>
                <w14:lumOff w14:val="5000"/>
              </w14:schemeClr>
            </w14:solidFill>
          </w14:textFill>
        </w:rPr>
        <w:t>8</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m/s，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自</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然</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补</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口的</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风</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速</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不</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大</w:t>
      </w:r>
      <w:r>
        <w:rPr>
          <w:rFonts w:hint="eastAsia" w:ascii="宋体" w:hAnsi="宋体" w:eastAsia="宋体" w:cs="宋体"/>
          <w:color w:val="0D0D0D" w:themeColor="text1" w:themeTint="F2"/>
          <w:spacing w:val="-1"/>
          <w:w w:val="101"/>
          <w:sz w:val="24"/>
          <w:szCs w:val="24"/>
          <w14:textFill>
            <w14:solidFill>
              <w14:schemeClr w14:val="tx1">
                <w14:lumMod w14:val="95000"/>
                <w14:lumOff w14:val="5000"/>
              </w14:schemeClr>
            </w14:solidFill>
          </w14:textFill>
        </w:rPr>
        <w:t>于</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u w:val="single" w:color="FF0000"/>
          <w:lang w:val="en-US" w:eastAsia="zh-CN"/>
          <w14:textFill>
            <w14:solidFill>
              <w14:schemeClr w14:val="tx1">
                <w14:lumMod w14:val="95000"/>
                <w14:lumOff w14:val="5000"/>
              </w14:schemeClr>
            </w14:solidFill>
          </w14:textFill>
        </w:rPr>
        <w:t>3</w:t>
      </w:r>
      <w:r>
        <w:rPr>
          <w:rFonts w:hint="eastAsia" w:ascii="宋体" w:hAnsi="宋体" w:eastAsia="宋体" w:cs="宋体"/>
          <w:color w:val="0D0D0D" w:themeColor="text1" w:themeTint="F2"/>
          <w:sz w:val="24"/>
          <w:szCs w:val="24"/>
          <w:u w:val="single" w:color="FF0000"/>
          <w14:textFill>
            <w14:solidFill>
              <w14:schemeClr w14:val="tx1">
                <w14:lumMod w14:val="95000"/>
                <w14:lumOff w14:val="5000"/>
              </w14:schemeClr>
            </w14:solidFill>
          </w14:textFill>
        </w:rPr>
        <w:tab/>
      </w:r>
      <w:r>
        <w:rPr>
          <w:rFonts w:hint="eastAsia" w:ascii="宋体" w:hAnsi="宋体" w:eastAsia="宋体" w:cs="宋体"/>
          <w:color w:val="0D0D0D" w:themeColor="text1" w:themeTint="F2"/>
          <w:sz w:val="24"/>
          <w:szCs w:val="24"/>
          <w:lang w:val="en-US"/>
          <w14:textFill>
            <w14:solidFill>
              <w14:schemeClr w14:val="tx1">
                <w14:lumMod w14:val="95000"/>
                <w14:lumOff w14:val="5000"/>
              </w14:schemeClr>
            </w14:solidFill>
          </w14:textFill>
        </w:rPr>
        <w:t>m/s</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p>
    <w:p w14:paraId="2B2A6DAE">
      <w:pPr>
        <w:pStyle w:val="16"/>
        <w:keepNext w:val="0"/>
        <w:keepLines/>
        <w:pageBreakBefore w:val="0"/>
        <w:widowControl/>
        <w:numPr>
          <w:ilvl w:val="0"/>
          <w:numId w:val="15"/>
        </w:numPr>
        <w:tabs>
          <w:tab w:val="left" w:pos="860"/>
        </w:tabs>
        <w:kinsoku/>
        <w:wordWrap/>
        <w:overflowPunct/>
        <w:topLinePunct w:val="0"/>
        <w:autoSpaceDE w:val="0"/>
        <w:autoSpaceDN w:val="0"/>
        <w:bidi w:val="0"/>
        <w:adjustRightInd w:val="0"/>
        <w:snapToGrid w:val="0"/>
        <w:spacing w:before="0" w:line="288" w:lineRule="auto"/>
        <w:ind w:left="0" w:leftChars="0" w:right="0" w:rightChars="0" w:firstLine="0" w:firstLineChars="0"/>
        <w:jc w:val="left"/>
        <w:textAlignment w:val="baseline"/>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各类防火阀自动关闭温度要求</w:t>
      </w:r>
    </w:p>
    <w:p w14:paraId="0EA792E2">
      <w:pPr>
        <w:keepNext w:val="0"/>
        <w:keepLines/>
        <w:pageBreakBefore w:val="0"/>
        <w:widowControl/>
        <w:kinsoku/>
        <w:wordWrap/>
        <w:overflowPunct/>
        <w:topLinePunct w:val="0"/>
        <w:autoSpaceDE w:val="0"/>
        <w:autoSpaceDN w:val="0"/>
        <w:bidi w:val="0"/>
        <w:adjustRightInd w:val="0"/>
        <w:snapToGrid w:val="0"/>
        <w:spacing w:line="288" w:lineRule="auto"/>
        <w:ind w:left="0" w:leftChars="0" w:right="0" w:rightChars="0" w:firstLine="0" w:firstLineChars="0"/>
        <w:jc w:val="left"/>
        <w:textAlignment w:val="baseline"/>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2"/>
          <w:sz w:val="24"/>
          <w:szCs w:val="24"/>
          <w14:textFill>
            <w14:solidFill>
              <w14:schemeClr w14:val="tx1">
                <w14:lumMod w14:val="95000"/>
                <w14:lumOff w14:val="5000"/>
              </w14:schemeClr>
            </w14:solidFill>
          </w14:textFill>
        </w:rPr>
        <w:t>排烟</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系统</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280</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w w:val="11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其余</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为</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70</w:t>
      </w:r>
      <w:r>
        <w:rPr>
          <w:rFonts w:hint="eastAsia" w:ascii="宋体" w:hAnsi="宋体" w:eastAsia="宋体" w:cs="宋体"/>
          <w:color w:val="0D0D0D" w:themeColor="text1" w:themeTint="F2"/>
          <w:sz w:val="24"/>
          <w:szCs w:val="24"/>
          <w:u w:val="single"/>
          <w14:textFill>
            <w14:solidFill>
              <w14:schemeClr w14:val="tx1">
                <w14:lumMod w14:val="95000"/>
                <w14:lumOff w14:val="5000"/>
              </w14:schemeClr>
            </w14:solidFill>
          </w14:textFill>
        </w:rPr>
        <w:t xml:space="preserve">  </w:t>
      </w:r>
      <w:r>
        <w:rPr>
          <w:rFonts w:hint="eastAsia" w:ascii="宋体" w:hAnsi="宋体" w:eastAsia="宋体" w:cs="宋体"/>
          <w:color w:val="0D0D0D" w:themeColor="text1" w:themeTint="F2"/>
          <w:w w:val="11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凡带</w:t>
      </w:r>
      <w:r>
        <w:rPr>
          <w:rFonts w:hint="eastAsia" w:ascii="宋体" w:hAnsi="宋体" w:eastAsia="宋体" w:cs="宋体"/>
          <w:color w:val="0D0D0D" w:themeColor="text1" w:themeTint="F2"/>
          <w:spacing w:val="5"/>
          <w:w w:val="101"/>
          <w:sz w:val="24"/>
          <w:szCs w:val="24"/>
          <w14:textFill>
            <w14:solidFill>
              <w14:schemeClr w14:val="tx1">
                <w14:lumMod w14:val="95000"/>
                <w14:lumOff w14:val="5000"/>
              </w14:schemeClr>
            </w14:solidFill>
          </w14:textFill>
        </w:rPr>
        <w:t>有</w:t>
      </w:r>
      <w:r>
        <w:rPr>
          <w:rFonts w:hint="eastAsia" w:ascii="宋体" w:hAnsi="宋体" w:eastAsia="宋体" w:cs="宋体"/>
          <w:color w:val="0D0D0D" w:themeColor="text1" w:themeTint="F2"/>
          <w:spacing w:val="2"/>
          <w:w w:val="101"/>
          <w:sz w:val="24"/>
          <w:szCs w:val="24"/>
          <w14:textFill>
            <w14:solidFill>
              <w14:schemeClr w14:val="tx1">
                <w14:lumMod w14:val="95000"/>
                <w14:lumOff w14:val="5000"/>
              </w14:schemeClr>
            </w14:solidFill>
          </w14:textFill>
        </w:rPr>
        <w:t>电</w:t>
      </w:r>
      <w:r>
        <w:rPr>
          <w:rFonts w:hint="eastAsia" w:ascii="宋体" w:hAnsi="宋体" w:eastAsia="宋体" w:cs="宋体"/>
          <w:color w:val="0D0D0D" w:themeColor="text1" w:themeTint="F2"/>
          <w:w w:val="101"/>
          <w:sz w:val="24"/>
          <w:szCs w:val="24"/>
          <w14:textFill>
            <w14:solidFill>
              <w14:schemeClr w14:val="tx1">
                <w14:lumMod w14:val="95000"/>
                <w14:lumOff w14:val="5000"/>
              </w14:schemeClr>
            </w14:solidFill>
          </w14:textFill>
        </w:rPr>
        <w:t>信号输出装置的防火阀其信号需引入消防控制室。</w:t>
      </w:r>
    </w:p>
    <w:p w14:paraId="6D87AE5D">
      <w:pP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br w:type="page"/>
      </w:r>
    </w:p>
    <w:p w14:paraId="73A7DD7F">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6017D064">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492F5661">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54465925">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305F43C7">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13EE3785">
      <w:pPr>
        <w:keepNext w:val="0"/>
        <w:pageBreakBefore w:val="0"/>
        <w:wordWrap/>
        <w:topLinePunct w:val="0"/>
        <w:bidi w:val="0"/>
        <w:spacing w:line="288" w:lineRule="auto"/>
        <w:ind w:left="0" w:leftChars="0" w:right="0" w:rightChars="0" w:firstLine="0" w:firstLineChars="0"/>
        <w:jc w:val="both"/>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6E25E73E">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t>第二部分  消防设计图纸</w:t>
      </w:r>
    </w:p>
    <w:p w14:paraId="3F251DAD">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pPr>
    </w:p>
    <w:p w14:paraId="0DF03BE9">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pPr>
    </w:p>
    <w:p w14:paraId="543706C0">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pPr>
    </w:p>
    <w:p w14:paraId="5E0ADAED">
      <w:pPr>
        <w:keepNext w:val="0"/>
        <w:pageBreakBefore w:val="0"/>
        <w:wordWrap/>
        <w:topLinePunct w:val="0"/>
        <w:bidi w:val="0"/>
        <w:spacing w:line="480" w:lineRule="auto"/>
        <w:ind w:left="0" w:leftChars="0" w:right="0" w:rightChars="0" w:firstLine="2318" w:firstLineChars="82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1 建筑专业 （ 目录、图纸另册）</w:t>
      </w:r>
    </w:p>
    <w:p w14:paraId="617D9481">
      <w:pPr>
        <w:keepNext w:val="0"/>
        <w:pageBreakBefore w:val="0"/>
        <w:wordWrap/>
        <w:topLinePunct w:val="0"/>
        <w:bidi w:val="0"/>
        <w:spacing w:line="480" w:lineRule="auto"/>
        <w:ind w:left="0" w:leftChars="0" w:right="0" w:rightChars="0" w:firstLine="2318" w:firstLineChars="82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2 结构专业 （ 无）</w:t>
      </w:r>
    </w:p>
    <w:p w14:paraId="29B713F9">
      <w:pPr>
        <w:keepNext w:val="0"/>
        <w:pageBreakBefore w:val="0"/>
        <w:wordWrap/>
        <w:topLinePunct w:val="0"/>
        <w:bidi w:val="0"/>
        <w:spacing w:line="480" w:lineRule="auto"/>
        <w:ind w:left="0" w:leftChars="0" w:right="0" w:rightChars="0" w:firstLine="2318" w:firstLineChars="82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3 给水排水专业（ 目录、图纸另册）</w:t>
      </w:r>
    </w:p>
    <w:p w14:paraId="6F85FBA4">
      <w:pPr>
        <w:keepNext w:val="0"/>
        <w:pageBreakBefore w:val="0"/>
        <w:wordWrap/>
        <w:topLinePunct w:val="0"/>
        <w:bidi w:val="0"/>
        <w:spacing w:line="480" w:lineRule="auto"/>
        <w:ind w:left="0" w:leftChars="0" w:right="0" w:rightChars="0" w:firstLine="2318" w:firstLineChars="82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4 电气专业 （ 目录、图纸另册）</w:t>
      </w:r>
    </w:p>
    <w:p w14:paraId="0213A7A9">
      <w:pPr>
        <w:keepNext w:val="0"/>
        <w:pageBreakBefore w:val="0"/>
        <w:wordWrap/>
        <w:topLinePunct w:val="0"/>
        <w:bidi w:val="0"/>
        <w:spacing w:line="480" w:lineRule="auto"/>
        <w:ind w:left="0" w:leftChars="0" w:right="0" w:rightChars="0" w:firstLine="2318" w:firstLineChars="828"/>
        <w:jc w:val="left"/>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8"/>
          <w:szCs w:val="28"/>
          <w:lang w:val="en-US" w:eastAsia="zh-CN"/>
          <w14:textFill>
            <w14:solidFill>
              <w14:schemeClr w14:val="tx1">
                <w14:lumMod w14:val="95000"/>
                <w14:lumOff w14:val="5000"/>
              </w14:schemeClr>
            </w14:solidFill>
          </w14:textFill>
        </w:rPr>
        <w:t>5 暖通专业 （ 目录、图纸另册）</w:t>
      </w:r>
    </w:p>
    <w:p w14:paraId="61F05151">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11"/>
          <w:sz w:val="24"/>
          <w:szCs w:val="24"/>
          <w14:textFill>
            <w14:solidFill>
              <w14:schemeClr w14:val="tx1">
                <w14:lumMod w14:val="95000"/>
                <w14:lumOff w14:val="5000"/>
              </w14:schemeClr>
            </w14:solidFill>
          </w14:textFill>
        </w:rPr>
      </w:pPr>
    </w:p>
    <w:p w14:paraId="4713B33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sectPr>
          <w:footerReference r:id="rId7" w:type="default"/>
          <w:pgSz w:w="11906" w:h="16839"/>
          <w:pgMar w:top="1431" w:right="1785" w:bottom="1150" w:left="1785" w:header="0" w:footer="1033" w:gutter="0"/>
          <w:pgBorders>
            <w:top w:val="none" w:sz="0" w:space="0"/>
            <w:left w:val="none" w:sz="0" w:space="0"/>
            <w:bottom w:val="none" w:sz="0" w:space="0"/>
            <w:right w:val="none" w:sz="0" w:space="0"/>
          </w:pgBorders>
          <w:pgNumType w:fmt="decimal"/>
          <w:cols w:space="720" w:num="1"/>
        </w:sectPr>
      </w:pPr>
    </w:p>
    <w:p w14:paraId="59CF475B">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 建筑专业</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486"/>
        <w:gridCol w:w="1235"/>
        <w:gridCol w:w="826"/>
        <w:gridCol w:w="1288"/>
        <w:gridCol w:w="1129"/>
        <w:gridCol w:w="911"/>
      </w:tblGrid>
      <w:tr w14:paraId="18D4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4" w:type="pct"/>
            <w:vAlign w:val="center"/>
          </w:tcPr>
          <w:p w14:paraId="7FF160FF">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53" w:type="pct"/>
            <w:vAlign w:val="center"/>
          </w:tcPr>
          <w:p w14:paraId="6A2308E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图纸名称</w:t>
            </w:r>
          </w:p>
        </w:tc>
        <w:tc>
          <w:tcPr>
            <w:tcW w:w="722" w:type="pct"/>
            <w:vAlign w:val="center"/>
          </w:tcPr>
          <w:p w14:paraId="5D195FE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图纸编号</w:t>
            </w:r>
          </w:p>
        </w:tc>
        <w:tc>
          <w:tcPr>
            <w:tcW w:w="483" w:type="pct"/>
            <w:vAlign w:val="center"/>
          </w:tcPr>
          <w:p w14:paraId="318126E4">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图幅</w:t>
            </w:r>
          </w:p>
        </w:tc>
        <w:tc>
          <w:tcPr>
            <w:tcW w:w="753" w:type="pct"/>
            <w:vAlign w:val="center"/>
          </w:tcPr>
          <w:p w14:paraId="42BDC9F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有效版本号</w:t>
            </w:r>
          </w:p>
        </w:tc>
        <w:tc>
          <w:tcPr>
            <w:tcW w:w="660" w:type="pct"/>
            <w:vAlign w:val="center"/>
          </w:tcPr>
          <w:p w14:paraId="05FA4AC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出图时间</w:t>
            </w:r>
          </w:p>
        </w:tc>
        <w:tc>
          <w:tcPr>
            <w:tcW w:w="532" w:type="pct"/>
            <w:vAlign w:val="center"/>
          </w:tcPr>
          <w:p w14:paraId="6E1438D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备注</w:t>
            </w:r>
          </w:p>
        </w:tc>
      </w:tr>
      <w:tr w14:paraId="66E8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2F0E8280">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0</w:t>
            </w:r>
          </w:p>
        </w:tc>
        <w:tc>
          <w:tcPr>
            <w:tcW w:w="1453" w:type="pct"/>
            <w:vAlign w:val="center"/>
          </w:tcPr>
          <w:p w14:paraId="5AB1402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5CF7790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1CEADF5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7987696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5AE4130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7ABAAF6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5379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7439B4B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1</w:t>
            </w:r>
          </w:p>
        </w:tc>
        <w:tc>
          <w:tcPr>
            <w:tcW w:w="1453" w:type="pct"/>
            <w:vAlign w:val="center"/>
          </w:tcPr>
          <w:p w14:paraId="64D63D2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09F4BA0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0C91E64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543CFB8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428B396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7226BEF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2375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6B0DC7A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2</w:t>
            </w:r>
          </w:p>
        </w:tc>
        <w:tc>
          <w:tcPr>
            <w:tcW w:w="1453" w:type="pct"/>
            <w:vAlign w:val="center"/>
          </w:tcPr>
          <w:p w14:paraId="0AB04C2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28660D92">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6E23639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5EB18C7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5C66E35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722C2AD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bl>
    <w:p w14:paraId="3DBE712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bCs/>
          <w:sz w:val="24"/>
          <w:szCs w:val="24"/>
          <w:lang w:val="en-US" w:eastAsia="zh-CN"/>
        </w:rPr>
      </w:pPr>
    </w:p>
    <w:p w14:paraId="2D4ED48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bCs/>
          <w:sz w:val="24"/>
          <w:szCs w:val="24"/>
          <w:lang w:val="en-US" w:eastAsia="zh-CN"/>
        </w:rPr>
      </w:pPr>
    </w:p>
    <w:p w14:paraId="49FC783A">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结构</w:t>
      </w:r>
      <w:r>
        <w:rPr>
          <w:rFonts w:hint="eastAsia" w:ascii="宋体" w:hAnsi="宋体" w:eastAsia="宋体" w:cs="宋体"/>
          <w:bCs/>
          <w:sz w:val="24"/>
          <w:szCs w:val="24"/>
        </w:rPr>
        <w:t>专业</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486"/>
        <w:gridCol w:w="1235"/>
        <w:gridCol w:w="826"/>
        <w:gridCol w:w="1288"/>
        <w:gridCol w:w="1129"/>
        <w:gridCol w:w="911"/>
      </w:tblGrid>
      <w:tr w14:paraId="6D6B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4" w:type="pct"/>
            <w:vAlign w:val="center"/>
          </w:tcPr>
          <w:p w14:paraId="6BD881E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53" w:type="pct"/>
            <w:vAlign w:val="center"/>
          </w:tcPr>
          <w:p w14:paraId="6359A5E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图纸名称</w:t>
            </w:r>
          </w:p>
        </w:tc>
        <w:tc>
          <w:tcPr>
            <w:tcW w:w="722" w:type="pct"/>
            <w:vAlign w:val="center"/>
          </w:tcPr>
          <w:p w14:paraId="1EC390E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图纸编号</w:t>
            </w:r>
          </w:p>
        </w:tc>
        <w:tc>
          <w:tcPr>
            <w:tcW w:w="483" w:type="pct"/>
            <w:vAlign w:val="center"/>
          </w:tcPr>
          <w:p w14:paraId="36614BF0">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图幅</w:t>
            </w:r>
          </w:p>
        </w:tc>
        <w:tc>
          <w:tcPr>
            <w:tcW w:w="753" w:type="pct"/>
            <w:vAlign w:val="center"/>
          </w:tcPr>
          <w:p w14:paraId="48A330C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有效版本号</w:t>
            </w:r>
          </w:p>
        </w:tc>
        <w:tc>
          <w:tcPr>
            <w:tcW w:w="660" w:type="pct"/>
            <w:vAlign w:val="center"/>
          </w:tcPr>
          <w:p w14:paraId="10E06AD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出图时间</w:t>
            </w:r>
          </w:p>
        </w:tc>
        <w:tc>
          <w:tcPr>
            <w:tcW w:w="532" w:type="pct"/>
            <w:vAlign w:val="center"/>
          </w:tcPr>
          <w:p w14:paraId="06308E6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备注</w:t>
            </w:r>
          </w:p>
        </w:tc>
      </w:tr>
      <w:tr w14:paraId="581D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10F8ED3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0</w:t>
            </w:r>
          </w:p>
        </w:tc>
        <w:tc>
          <w:tcPr>
            <w:tcW w:w="1453" w:type="pct"/>
            <w:vAlign w:val="center"/>
          </w:tcPr>
          <w:p w14:paraId="377D299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22" w:type="pct"/>
            <w:vAlign w:val="center"/>
          </w:tcPr>
          <w:p w14:paraId="747853E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2FE1A35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5BEB30F0">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78E8609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276AC8D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3D8C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43B1CE0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1</w:t>
            </w:r>
          </w:p>
        </w:tc>
        <w:tc>
          <w:tcPr>
            <w:tcW w:w="1453" w:type="pct"/>
            <w:vAlign w:val="center"/>
          </w:tcPr>
          <w:p w14:paraId="7E98CBA4">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22" w:type="pct"/>
            <w:vAlign w:val="center"/>
          </w:tcPr>
          <w:p w14:paraId="2983E73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26F6DEF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284D569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52149B4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590A4D32">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3791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00B4545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sz w:val="21"/>
                <w:szCs w:val="21"/>
              </w:rPr>
              <w:t>2</w:t>
            </w:r>
          </w:p>
        </w:tc>
        <w:tc>
          <w:tcPr>
            <w:tcW w:w="1453" w:type="pct"/>
            <w:vAlign w:val="center"/>
          </w:tcPr>
          <w:p w14:paraId="22F3BCD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22" w:type="pct"/>
            <w:vAlign w:val="center"/>
          </w:tcPr>
          <w:p w14:paraId="627CBDF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72A74C22">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4E1066F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6806FB7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690D285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bl>
    <w:p w14:paraId="66DA1C9C">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48E76EA4">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6B3B61C9">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3</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给排水</w:t>
      </w:r>
      <w:r>
        <w:rPr>
          <w:rFonts w:hint="eastAsia" w:ascii="宋体" w:hAnsi="宋体" w:eastAsia="宋体" w:cs="宋体"/>
          <w:bCs/>
          <w:sz w:val="24"/>
          <w:szCs w:val="24"/>
        </w:rPr>
        <w:t>专业</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486"/>
        <w:gridCol w:w="1235"/>
        <w:gridCol w:w="826"/>
        <w:gridCol w:w="1288"/>
        <w:gridCol w:w="1129"/>
        <w:gridCol w:w="911"/>
      </w:tblGrid>
      <w:tr w14:paraId="7B45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4" w:type="pct"/>
            <w:vAlign w:val="center"/>
          </w:tcPr>
          <w:p w14:paraId="66EF8A5D">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序号</w:t>
            </w:r>
          </w:p>
        </w:tc>
        <w:tc>
          <w:tcPr>
            <w:tcW w:w="1453" w:type="pct"/>
            <w:vAlign w:val="center"/>
          </w:tcPr>
          <w:p w14:paraId="33F4D6D2">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图纸名称</w:t>
            </w:r>
          </w:p>
        </w:tc>
        <w:tc>
          <w:tcPr>
            <w:tcW w:w="722" w:type="pct"/>
            <w:vAlign w:val="center"/>
          </w:tcPr>
          <w:p w14:paraId="0858A6A6">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图纸编号</w:t>
            </w:r>
          </w:p>
        </w:tc>
        <w:tc>
          <w:tcPr>
            <w:tcW w:w="483" w:type="pct"/>
            <w:vAlign w:val="center"/>
          </w:tcPr>
          <w:p w14:paraId="2A631D8E">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图幅</w:t>
            </w:r>
          </w:p>
        </w:tc>
        <w:tc>
          <w:tcPr>
            <w:tcW w:w="753" w:type="pct"/>
            <w:vAlign w:val="center"/>
          </w:tcPr>
          <w:p w14:paraId="0F4170E5">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有效版本号</w:t>
            </w:r>
          </w:p>
        </w:tc>
        <w:tc>
          <w:tcPr>
            <w:tcW w:w="660" w:type="pct"/>
            <w:vAlign w:val="center"/>
          </w:tcPr>
          <w:p w14:paraId="49026164">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出图时间</w:t>
            </w:r>
          </w:p>
        </w:tc>
        <w:tc>
          <w:tcPr>
            <w:tcW w:w="532" w:type="pct"/>
            <w:vAlign w:val="center"/>
          </w:tcPr>
          <w:p w14:paraId="580E9F88">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备注</w:t>
            </w:r>
          </w:p>
        </w:tc>
      </w:tr>
      <w:tr w14:paraId="2F33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4301A9B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0</w:t>
            </w:r>
          </w:p>
        </w:tc>
        <w:tc>
          <w:tcPr>
            <w:tcW w:w="1453" w:type="pct"/>
            <w:vAlign w:val="center"/>
          </w:tcPr>
          <w:p w14:paraId="58C9039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427D291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080F69A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4C0CCB1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4520713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0E0D9E8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7BBD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754756A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1</w:t>
            </w:r>
          </w:p>
        </w:tc>
        <w:tc>
          <w:tcPr>
            <w:tcW w:w="1453" w:type="pct"/>
            <w:vAlign w:val="center"/>
          </w:tcPr>
          <w:p w14:paraId="33393CE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360C490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5A6C18E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67A2B36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0C773A8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4453A6D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22D0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0E53BED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2</w:t>
            </w:r>
          </w:p>
        </w:tc>
        <w:tc>
          <w:tcPr>
            <w:tcW w:w="1453" w:type="pct"/>
            <w:vAlign w:val="center"/>
          </w:tcPr>
          <w:p w14:paraId="46B5A24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75B30A4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40D4C12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646669A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0D85BD5F">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7BE6C2D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bl>
    <w:p w14:paraId="303C63A6">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17C7B25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3E85F8CD">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电气</w:t>
      </w:r>
      <w:r>
        <w:rPr>
          <w:rFonts w:hint="eastAsia" w:ascii="宋体" w:hAnsi="宋体" w:eastAsia="宋体" w:cs="宋体"/>
          <w:bCs/>
          <w:sz w:val="24"/>
          <w:szCs w:val="24"/>
        </w:rPr>
        <w:t>专业</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486"/>
        <w:gridCol w:w="1235"/>
        <w:gridCol w:w="826"/>
        <w:gridCol w:w="1288"/>
        <w:gridCol w:w="1129"/>
        <w:gridCol w:w="911"/>
      </w:tblGrid>
      <w:tr w14:paraId="38C43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4" w:type="pct"/>
            <w:vAlign w:val="center"/>
          </w:tcPr>
          <w:p w14:paraId="4966F362">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序号</w:t>
            </w:r>
          </w:p>
        </w:tc>
        <w:tc>
          <w:tcPr>
            <w:tcW w:w="1453" w:type="pct"/>
            <w:vAlign w:val="center"/>
          </w:tcPr>
          <w:p w14:paraId="514CEAA9">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图纸名称</w:t>
            </w:r>
          </w:p>
        </w:tc>
        <w:tc>
          <w:tcPr>
            <w:tcW w:w="722" w:type="pct"/>
            <w:vAlign w:val="center"/>
          </w:tcPr>
          <w:p w14:paraId="11B7C3B9">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图纸编号</w:t>
            </w:r>
          </w:p>
        </w:tc>
        <w:tc>
          <w:tcPr>
            <w:tcW w:w="483" w:type="pct"/>
            <w:vAlign w:val="center"/>
          </w:tcPr>
          <w:p w14:paraId="5A599EA8">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图幅</w:t>
            </w:r>
          </w:p>
        </w:tc>
        <w:tc>
          <w:tcPr>
            <w:tcW w:w="753" w:type="pct"/>
            <w:vAlign w:val="center"/>
          </w:tcPr>
          <w:p w14:paraId="4469B041">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有效版本号</w:t>
            </w:r>
          </w:p>
        </w:tc>
        <w:tc>
          <w:tcPr>
            <w:tcW w:w="660" w:type="pct"/>
            <w:vAlign w:val="center"/>
          </w:tcPr>
          <w:p w14:paraId="4C450764">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出图时间</w:t>
            </w:r>
          </w:p>
        </w:tc>
        <w:tc>
          <w:tcPr>
            <w:tcW w:w="532" w:type="pct"/>
            <w:vAlign w:val="center"/>
          </w:tcPr>
          <w:p w14:paraId="4ECA77BA">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备注</w:t>
            </w:r>
          </w:p>
        </w:tc>
      </w:tr>
      <w:tr w14:paraId="6BB6F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141EDF2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0</w:t>
            </w:r>
          </w:p>
        </w:tc>
        <w:tc>
          <w:tcPr>
            <w:tcW w:w="1453" w:type="pct"/>
            <w:vAlign w:val="center"/>
          </w:tcPr>
          <w:p w14:paraId="4D5384D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09ED5F11">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54E972B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1FEC10A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0AF4BCC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58BB64B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7FC0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09A98D8F">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1</w:t>
            </w:r>
          </w:p>
        </w:tc>
        <w:tc>
          <w:tcPr>
            <w:tcW w:w="1453" w:type="pct"/>
            <w:vAlign w:val="center"/>
          </w:tcPr>
          <w:p w14:paraId="7789DDD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5E1C7A2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05F92F80">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77183417">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6B26902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79653C8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7390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3DB9224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2</w:t>
            </w:r>
          </w:p>
        </w:tc>
        <w:tc>
          <w:tcPr>
            <w:tcW w:w="1453" w:type="pct"/>
            <w:vAlign w:val="center"/>
          </w:tcPr>
          <w:p w14:paraId="7F26C14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0204167D">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3848747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420D8022">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63A49325">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32956C4B">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bl>
    <w:p w14:paraId="364F4C39">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0801B6DE">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5296CA47">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暖通</w:t>
      </w:r>
      <w:r>
        <w:rPr>
          <w:rFonts w:hint="eastAsia" w:ascii="宋体" w:hAnsi="宋体" w:eastAsia="宋体" w:cs="宋体"/>
          <w:bCs/>
          <w:sz w:val="24"/>
          <w:szCs w:val="24"/>
        </w:rPr>
        <w:t>专业</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2486"/>
        <w:gridCol w:w="1235"/>
        <w:gridCol w:w="826"/>
        <w:gridCol w:w="1288"/>
        <w:gridCol w:w="1129"/>
        <w:gridCol w:w="911"/>
      </w:tblGrid>
      <w:tr w14:paraId="14F0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4" w:type="pct"/>
            <w:vAlign w:val="center"/>
          </w:tcPr>
          <w:p w14:paraId="4472A0D4">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序号</w:t>
            </w:r>
          </w:p>
        </w:tc>
        <w:tc>
          <w:tcPr>
            <w:tcW w:w="1453" w:type="pct"/>
            <w:vAlign w:val="center"/>
          </w:tcPr>
          <w:p w14:paraId="093148C8">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图纸名称</w:t>
            </w:r>
          </w:p>
        </w:tc>
        <w:tc>
          <w:tcPr>
            <w:tcW w:w="722" w:type="pct"/>
            <w:vAlign w:val="center"/>
          </w:tcPr>
          <w:p w14:paraId="2E2D896F">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图纸编号</w:t>
            </w:r>
          </w:p>
        </w:tc>
        <w:tc>
          <w:tcPr>
            <w:tcW w:w="483" w:type="pct"/>
            <w:vAlign w:val="center"/>
          </w:tcPr>
          <w:p w14:paraId="3361E5E2">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图幅</w:t>
            </w:r>
          </w:p>
        </w:tc>
        <w:tc>
          <w:tcPr>
            <w:tcW w:w="753" w:type="pct"/>
            <w:vAlign w:val="center"/>
          </w:tcPr>
          <w:p w14:paraId="37D737B3">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有效版本号</w:t>
            </w:r>
          </w:p>
        </w:tc>
        <w:tc>
          <w:tcPr>
            <w:tcW w:w="660" w:type="pct"/>
            <w:vAlign w:val="center"/>
          </w:tcPr>
          <w:p w14:paraId="105F776B">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出图时间</w:t>
            </w:r>
          </w:p>
        </w:tc>
        <w:tc>
          <w:tcPr>
            <w:tcW w:w="532" w:type="pct"/>
            <w:vAlign w:val="center"/>
          </w:tcPr>
          <w:p w14:paraId="19F9FC1C">
            <w:pPr>
              <w:keepNext w:val="0"/>
              <w:pageBreakBefore w:val="0"/>
              <w:widowControl w:val="0"/>
              <w:wordWrap/>
              <w:topLinePunct w:val="0"/>
              <w:bidi w:val="0"/>
              <w:spacing w:line="288"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rPr>
              <w:t>备注</w:t>
            </w:r>
          </w:p>
        </w:tc>
      </w:tr>
      <w:tr w14:paraId="4D01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5CF6D9C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0</w:t>
            </w:r>
          </w:p>
        </w:tc>
        <w:tc>
          <w:tcPr>
            <w:tcW w:w="1453" w:type="pct"/>
            <w:vAlign w:val="center"/>
          </w:tcPr>
          <w:p w14:paraId="4964BAC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6F13576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66691C34">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78574CA8">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391D9000">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487995FE">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r w14:paraId="339C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4" w:type="pct"/>
            <w:vAlign w:val="center"/>
          </w:tcPr>
          <w:p w14:paraId="45D2ED7A">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r>
              <w:rPr>
                <w:rFonts w:hint="eastAsia" w:ascii="宋体" w:hAnsi="宋体" w:eastAsia="宋体" w:cs="宋体"/>
                <w:color w:val="auto"/>
                <w:sz w:val="21"/>
                <w:szCs w:val="21"/>
                <w:lang w:bidi="zh-CN"/>
              </w:rPr>
              <w:t>1</w:t>
            </w:r>
          </w:p>
        </w:tc>
        <w:tc>
          <w:tcPr>
            <w:tcW w:w="1453" w:type="pct"/>
            <w:vAlign w:val="center"/>
          </w:tcPr>
          <w:p w14:paraId="1ED041FF">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color w:val="auto"/>
                <w:sz w:val="21"/>
                <w:szCs w:val="21"/>
                <w:lang w:bidi="zh-CN"/>
              </w:rPr>
            </w:pPr>
          </w:p>
        </w:tc>
        <w:tc>
          <w:tcPr>
            <w:tcW w:w="722" w:type="pct"/>
            <w:vAlign w:val="center"/>
          </w:tcPr>
          <w:p w14:paraId="3228CBF4">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483" w:type="pct"/>
            <w:vAlign w:val="center"/>
          </w:tcPr>
          <w:p w14:paraId="1BCDB33C">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753" w:type="pct"/>
            <w:vAlign w:val="center"/>
          </w:tcPr>
          <w:p w14:paraId="1D8E0533">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660" w:type="pct"/>
            <w:vAlign w:val="center"/>
          </w:tcPr>
          <w:p w14:paraId="0DE395F6">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c>
          <w:tcPr>
            <w:tcW w:w="532" w:type="pct"/>
            <w:vAlign w:val="center"/>
          </w:tcPr>
          <w:p w14:paraId="64A4E059">
            <w:pPr>
              <w:keepNext w:val="0"/>
              <w:pageBreakBefore w:val="0"/>
              <w:widowControl w:val="0"/>
              <w:wordWrap/>
              <w:topLinePunct w:val="0"/>
              <w:bidi w:val="0"/>
              <w:spacing w:line="288" w:lineRule="auto"/>
              <w:ind w:left="0" w:leftChars="0" w:right="0" w:rightChars="0" w:firstLine="0" w:firstLineChars="0"/>
              <w:jc w:val="center"/>
              <w:rPr>
                <w:rFonts w:hint="eastAsia" w:ascii="宋体" w:hAnsi="宋体" w:eastAsia="宋体" w:cs="宋体"/>
                <w:sz w:val="21"/>
                <w:szCs w:val="21"/>
              </w:rPr>
            </w:pPr>
          </w:p>
        </w:tc>
      </w:tr>
    </w:tbl>
    <w:p w14:paraId="5FABBB78">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pPr>
    </w:p>
    <w:p w14:paraId="151C9348">
      <w:pPr>
        <w:rPr>
          <w:rFonts w:hint="eastAsia" w:ascii="宋体" w:hAnsi="宋体" w:eastAsia="宋体" w:cs="宋体"/>
          <w:sz w:val="24"/>
          <w:szCs w:val="24"/>
        </w:rPr>
      </w:pPr>
      <w:r>
        <w:rPr>
          <w:rFonts w:hint="eastAsia" w:ascii="宋体" w:hAnsi="宋体" w:eastAsia="宋体" w:cs="宋体"/>
          <w:sz w:val="24"/>
          <w:szCs w:val="24"/>
        </w:rPr>
        <w:br w:type="page"/>
      </w:r>
    </w:p>
    <w:p w14:paraId="305B7C92">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sz w:val="24"/>
          <w:szCs w:val="24"/>
        </w:rPr>
      </w:pPr>
    </w:p>
    <w:p w14:paraId="74539A3B">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36"/>
          <w:szCs w:val="36"/>
          <w:lang w:val="en-US" w:eastAsia="zh-CN"/>
          <w14:textFill>
            <w14:solidFill>
              <w14:schemeClr w14:val="tx1">
                <w14:lumMod w14:val="95000"/>
                <w14:lumOff w14:val="5000"/>
              </w14:schemeClr>
            </w14:solidFill>
          </w14:textFill>
        </w:rPr>
        <w:t>第三部分</w:t>
      </w:r>
      <w:r>
        <w:rPr>
          <w:rFonts w:hint="eastAsia" w:ascii="宋体" w:hAnsi="宋体" w:eastAsia="宋体" w:cs="宋体"/>
          <w:color w:val="0D0D0D" w:themeColor="text1" w:themeTint="F2"/>
          <w:spacing w:val="-3"/>
          <w:sz w:val="36"/>
          <w:szCs w:val="36"/>
          <w14:textFill>
            <w14:solidFill>
              <w14:schemeClr w14:val="tx1">
                <w14:lumMod w14:val="95000"/>
                <w14:lumOff w14:val="5000"/>
              </w14:schemeClr>
            </w14:solidFill>
          </w14:textFill>
        </w:rPr>
        <w:t xml:space="preserve"> 计算书(另册)</w:t>
      </w:r>
    </w:p>
    <w:p w14:paraId="4650AE83">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5D718DD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37D4CEE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17308F9A">
      <w:pPr>
        <w:keepNext w:val="0"/>
        <w:pageBreakBefore w:val="0"/>
        <w:wordWrap/>
        <w:topLinePunct w:val="0"/>
        <w:bidi w:val="0"/>
        <w:spacing w:line="288" w:lineRule="auto"/>
        <w:ind w:left="0" w:leftChars="0" w:right="0" w:rightChars="0" w:firstLine="0" w:firstLineChars="0"/>
        <w:jc w:val="left"/>
        <w:rPr>
          <w:rFonts w:hint="eastAsia" w:ascii="宋体" w:hAnsi="宋体" w:eastAsia="宋体" w:cs="宋体"/>
          <w:color w:val="0D0D0D" w:themeColor="text1" w:themeTint="F2"/>
          <w:spacing w:val="-3"/>
          <w:sz w:val="24"/>
          <w:szCs w:val="24"/>
          <w14:textFill>
            <w14:solidFill>
              <w14:schemeClr w14:val="tx1">
                <w14:lumMod w14:val="95000"/>
                <w14:lumOff w14:val="5000"/>
              </w14:schemeClr>
            </w14:solidFill>
          </w14:textFill>
        </w:rPr>
      </w:pPr>
    </w:p>
    <w:p w14:paraId="2043B2C8">
      <w:pPr>
        <w:keepNext w:val="0"/>
        <w:pageBreakBefore w:val="0"/>
        <w:wordWrap/>
        <w:topLinePunct w:val="0"/>
        <w:bidi w:val="0"/>
        <w:spacing w:line="288" w:lineRule="auto"/>
        <w:ind w:left="0" w:leftChars="0" w:right="0" w:rightChars="0" w:firstLine="0" w:firstLineChars="0"/>
        <w:jc w:val="center"/>
        <w:rPr>
          <w:rFonts w:hint="eastAsia" w:ascii="宋体" w:hAnsi="宋体" w:eastAsia="宋体" w:cs="宋体"/>
          <w:color w:val="0D0D0D" w:themeColor="text1" w:themeTint="F2"/>
          <w:spacing w:val="-3"/>
          <w:sz w:val="36"/>
          <w:szCs w:val="36"/>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pacing w:val="-3"/>
          <w:sz w:val="36"/>
          <w:szCs w:val="36"/>
          <w:lang w:val="en-US" w:eastAsia="zh-CN"/>
          <w14:textFill>
            <w14:solidFill>
              <w14:schemeClr w14:val="tx1">
                <w14:lumMod w14:val="95000"/>
                <w14:lumOff w14:val="5000"/>
              </w14:schemeClr>
            </w14:solidFill>
          </w14:textFill>
        </w:rPr>
        <w:t>第四部分 相关资料文件(另册)</w:t>
      </w:r>
    </w:p>
    <w:sectPr>
      <w:headerReference r:id="rId8" w:type="default"/>
      <w:footerReference r:id="rId9" w:type="default"/>
      <w:pgSz w:w="11906" w:h="16839"/>
      <w:pgMar w:top="1431" w:right="1785" w:bottom="1152" w:left="1785" w:header="0" w:footer="1033"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阿里巴巴普惠体 L">
    <w:altName w:val="Times New Roman"/>
    <w:panose1 w:val="00000000000000000000"/>
    <w:charset w:val="34"/>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1A14">
    <w:pPr>
      <w:tabs>
        <w:tab w:val="left" w:pos="4218"/>
      </w:tabs>
      <w:spacing w:line="168" w:lineRule="auto"/>
      <w:ind w:left="4237"/>
      <w:rPr>
        <w:rFonts w:ascii="Calibri" w:hAnsi="Calibri" w:eastAsia="Calibri" w:cs="Calibri"/>
        <w:sz w:val="18"/>
        <w:szCs w:val="18"/>
      </w:rPr>
    </w:pPr>
    <w:r>
      <w:rPr>
        <w:rFonts w:hint="eastAsia" w:ascii="Calibri" w:hAnsi="Calibri" w:eastAsia="宋体" w:cs="Calibri"/>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16020">
    <w:pPr>
      <w:tabs>
        <w:tab w:val="left" w:pos="4218"/>
      </w:tabs>
      <w:spacing w:line="168" w:lineRule="auto"/>
      <w:ind w:left="4237"/>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8FACD">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378FACD">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Calibri" w:hAnsi="Calibri" w:eastAsia="宋体" w:cs="Calibri"/>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C93FA">
    <w:pPr>
      <w:spacing w:line="118" w:lineRule="exact"/>
      <w:ind w:firstLine="4129"/>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C4643E7">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6C4643E7">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0F08A">
    <w:pPr>
      <w:spacing w:line="118" w:lineRule="exact"/>
      <w:ind w:firstLine="412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5DDB356">
                          <w:pPr>
                            <w:pStyle w:val="7"/>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25DDB356">
                    <w:pPr>
                      <w:pStyle w:val="7"/>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61F93">
    <w:pPr>
      <w:spacing w:line="116" w:lineRule="exact"/>
      <w:ind w:firstLine="4083"/>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E729B47">
                          <w:pPr>
                            <w:pStyle w:val="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4E729B47">
                    <w:pPr>
                      <w:pStyle w:val="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5CA6A">
    <w:pPr>
      <w:spacing w:line="118" w:lineRule="exact"/>
      <w:ind w:firstLine="4084"/>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5EA133F">
                          <w:pPr>
                            <w:pStyle w:val="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35EA133F">
                    <w:pPr>
                      <w:pStyle w:val="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37C42">
    <w:pPr>
      <w:pStyle w:val="8"/>
      <w:jc w:val="right"/>
    </w:pP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726B8"/>
    <w:multiLevelType w:val="multilevel"/>
    <w:tmpl w:val="023726B8"/>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2.2.%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02B9173A"/>
    <w:multiLevelType w:val="multilevel"/>
    <w:tmpl w:val="02B9173A"/>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2.1.%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
    <w:nsid w:val="11604186"/>
    <w:multiLevelType w:val="multilevel"/>
    <w:tmpl w:val="11604186"/>
    <w:lvl w:ilvl="0" w:tentative="0">
      <w:start w:val="1"/>
      <w:numFmt w:val="decimal"/>
      <w:pStyle w:val="2"/>
      <w:lvlText w:val="%1"/>
      <w:lvlJc w:val="left"/>
      <w:pPr>
        <w:tabs>
          <w:tab w:val="left" w:pos="1440"/>
        </w:tabs>
        <w:ind w:left="1440" w:hanging="1440"/>
      </w:pPr>
      <w:rPr>
        <w:rFonts w:hint="eastAsia"/>
      </w:rPr>
    </w:lvl>
    <w:lvl w:ilvl="1" w:tentative="0">
      <w:start w:val="1"/>
      <w:numFmt w:val="decimal"/>
      <w:pStyle w:val="3"/>
      <w:lvlText w:val="%1.%2"/>
      <w:lvlJc w:val="left"/>
      <w:pPr>
        <w:tabs>
          <w:tab w:val="left" w:pos="1440"/>
        </w:tabs>
        <w:ind w:left="1440" w:hanging="1440"/>
      </w:pPr>
      <w:rPr>
        <w:rFonts w:cs="Times New Roman"/>
        <w:b w:val="0"/>
        <w:bCs w:val="0"/>
        <w:i w:val="0"/>
        <w:iCs w:val="0"/>
        <w:caps w:val="0"/>
        <w:smallCaps w:val="0"/>
        <w:strike w:val="0"/>
        <w:dstrike w:val="0"/>
        <w:vanish w:val="0"/>
        <w:spacing w:val="0"/>
        <w:position w:val="0"/>
        <w:u w:val="none"/>
        <w:vertAlign w:val="baseline"/>
      </w:rPr>
    </w:lvl>
    <w:lvl w:ilvl="2" w:tentative="0">
      <w:start w:val="1"/>
      <w:numFmt w:val="decimal"/>
      <w:lvlText w:val="%1.%2.%3"/>
      <w:lvlJc w:val="left"/>
      <w:pPr>
        <w:tabs>
          <w:tab w:val="left" w:pos="1440"/>
        </w:tabs>
        <w:ind w:left="1440" w:hanging="1440"/>
      </w:pPr>
      <w:rPr>
        <w:rFonts w:hint="eastAsia"/>
      </w:rPr>
    </w:lvl>
    <w:lvl w:ilvl="3" w:tentative="0">
      <w:start w:val="1"/>
      <w:numFmt w:val="decimal"/>
      <w:lvlText w:val="%1.%2.%3.%4"/>
      <w:lvlJc w:val="left"/>
      <w:pPr>
        <w:tabs>
          <w:tab w:val="left" w:pos="1440"/>
        </w:tabs>
        <w:ind w:left="1440" w:hanging="1440"/>
      </w:pPr>
      <w:rPr>
        <w:rFonts w:hint="eastAsia"/>
      </w:rPr>
    </w:lvl>
    <w:lvl w:ilvl="4" w:tentative="0">
      <w:start w:val="1"/>
      <w:numFmt w:val="decimal"/>
      <w:lvlText w:val="%1.%2.%3.%4.%5"/>
      <w:lvlJc w:val="left"/>
      <w:pPr>
        <w:tabs>
          <w:tab w:val="left" w:pos="1440"/>
        </w:tabs>
        <w:ind w:left="1440" w:hanging="1440"/>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cs="Times New Roman"/>
        <w:b w:val="0"/>
        <w:bCs w:val="0"/>
        <w:i w:val="0"/>
        <w:iCs w:val="0"/>
        <w:caps w:val="0"/>
        <w:smallCaps w:val="0"/>
        <w:strike w:val="0"/>
        <w:dstrike w:val="0"/>
        <w:vanish w:val="0"/>
        <w:spacing w:val="0"/>
        <w:position w:val="0"/>
        <w:u w:val="none"/>
        <w:vertAlign w:val="baseline"/>
      </w:rPr>
    </w:lvl>
    <w:lvl w:ilvl="8" w:tentative="0">
      <w:start w:val="1"/>
      <w:numFmt w:val="decimal"/>
      <w:lvlText w:val="%1.%2.%3.%4.%5.%6.%7.%8.%9"/>
      <w:lvlJc w:val="left"/>
      <w:pPr>
        <w:tabs>
          <w:tab w:val="left" w:pos="1584"/>
        </w:tabs>
        <w:ind w:left="1584" w:hanging="1584"/>
      </w:pPr>
      <w:rPr>
        <w:rFonts w:hint="eastAsia"/>
      </w:rPr>
    </w:lvl>
  </w:abstractNum>
  <w:abstractNum w:abstractNumId="3">
    <w:nsid w:val="152E4D1D"/>
    <w:multiLevelType w:val="multilevel"/>
    <w:tmpl w:val="152E4D1D"/>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3.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1AC35F9E"/>
    <w:multiLevelType w:val="multilevel"/>
    <w:tmpl w:val="1AC35F9E"/>
    <w:lvl w:ilvl="0" w:tentative="0">
      <w:start w:val="1"/>
      <w:numFmt w:val="decimal"/>
      <w:lvlText w:val="6.3.%1"/>
      <w:lvlJc w:val="left"/>
      <w:pPr>
        <w:ind w:left="0" w:firstLine="0"/>
      </w:pPr>
      <w:rPr>
        <w:rFonts w:hint="eastAsia"/>
      </w:rPr>
    </w:lvl>
    <w:lvl w:ilvl="1" w:tentative="0">
      <w:start w:val="1"/>
      <w:numFmt w:val="decimal"/>
      <w:lvlText w:val="2.%2"/>
      <w:lvlJc w:val="left"/>
      <w:pPr>
        <w:ind w:left="0" w:firstLine="0"/>
      </w:pPr>
      <w:rPr>
        <w:rFonts w:hint="eastAsia"/>
        <w:b w:val="0"/>
        <w:bCs w:val="0"/>
        <w:w w:val="100"/>
        <w:sz w:val="24"/>
        <w:szCs w:val="24"/>
      </w:rPr>
    </w:lvl>
    <w:lvl w:ilvl="2" w:tentative="0">
      <w:start w:val="1"/>
      <w:numFmt w:val="decimal"/>
      <w:lvlText w:val="2.%2.%3"/>
      <w:lvlJc w:val="left"/>
      <w:pPr>
        <w:ind w:left="0" w:firstLine="0"/>
      </w:pPr>
      <w:rPr>
        <w:rFonts w:hint="eastAsia"/>
        <w:b w:val="0"/>
        <w:bCs w:val="0"/>
        <w:w w:val="100"/>
        <w:sz w:val="24"/>
        <w:szCs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28F211EA"/>
    <w:multiLevelType w:val="multilevel"/>
    <w:tmpl w:val="28F211EA"/>
    <w:lvl w:ilvl="0" w:tentative="0">
      <w:start w:val="1"/>
      <w:numFmt w:val="decimal"/>
      <w:lvlText w:val="6.2.%1"/>
      <w:lvlJc w:val="left"/>
      <w:pPr>
        <w:ind w:left="0" w:firstLine="0"/>
      </w:pPr>
      <w:rPr>
        <w:rFonts w:hint="eastAsia"/>
      </w:rPr>
    </w:lvl>
    <w:lvl w:ilvl="1" w:tentative="0">
      <w:start w:val="1"/>
      <w:numFmt w:val="decimal"/>
      <w:lvlText w:val="2.%2"/>
      <w:lvlJc w:val="left"/>
      <w:pPr>
        <w:ind w:left="0" w:firstLine="0"/>
      </w:pPr>
      <w:rPr>
        <w:rFonts w:hint="eastAsia"/>
        <w:b w:val="0"/>
        <w:bCs w:val="0"/>
        <w:w w:val="100"/>
        <w:sz w:val="24"/>
        <w:szCs w:val="24"/>
      </w:rPr>
    </w:lvl>
    <w:lvl w:ilvl="2" w:tentative="0">
      <w:start w:val="1"/>
      <w:numFmt w:val="decimal"/>
      <w:lvlText w:val="2.%2.%3"/>
      <w:lvlJc w:val="left"/>
      <w:pPr>
        <w:ind w:left="0" w:firstLine="0"/>
      </w:pPr>
      <w:rPr>
        <w:rFonts w:hint="eastAsia"/>
        <w:b w:val="0"/>
        <w:bCs w:val="0"/>
        <w:w w:val="100"/>
        <w:sz w:val="24"/>
        <w:szCs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29C065C8"/>
    <w:multiLevelType w:val="multilevel"/>
    <w:tmpl w:val="29C065C8"/>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3.1.%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338C3403"/>
    <w:multiLevelType w:val="multilevel"/>
    <w:tmpl w:val="338C3403"/>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5.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34F7224C"/>
    <w:multiLevelType w:val="multilevel"/>
    <w:tmpl w:val="34F7224C"/>
    <w:lvl w:ilvl="0" w:tentative="0">
      <w:start w:val="6"/>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9">
    <w:nsid w:val="39982D92"/>
    <w:multiLevelType w:val="multilevel"/>
    <w:tmpl w:val="39982D92"/>
    <w:lvl w:ilvl="0" w:tentative="0">
      <w:start w:val="1"/>
      <w:numFmt w:val="decimal"/>
      <w:lvlText w:val="6.1.%1"/>
      <w:lvlJc w:val="left"/>
      <w:pPr>
        <w:ind w:left="0" w:firstLine="0"/>
      </w:pPr>
      <w:rPr>
        <w:rFonts w:hint="eastAsia"/>
      </w:rPr>
    </w:lvl>
    <w:lvl w:ilvl="1" w:tentative="0">
      <w:start w:val="1"/>
      <w:numFmt w:val="decimal"/>
      <w:lvlText w:val="2.%2"/>
      <w:lvlJc w:val="left"/>
      <w:pPr>
        <w:ind w:left="0" w:firstLine="0"/>
      </w:pPr>
      <w:rPr>
        <w:rFonts w:hint="eastAsia"/>
        <w:b w:val="0"/>
        <w:bCs w:val="0"/>
        <w:w w:val="100"/>
        <w:sz w:val="24"/>
        <w:szCs w:val="24"/>
      </w:rPr>
    </w:lvl>
    <w:lvl w:ilvl="2" w:tentative="0">
      <w:start w:val="1"/>
      <w:numFmt w:val="decimal"/>
      <w:lvlText w:val="2.%2.%3"/>
      <w:lvlJc w:val="left"/>
      <w:pPr>
        <w:ind w:left="0" w:firstLine="0"/>
      </w:pPr>
      <w:rPr>
        <w:rFonts w:hint="eastAsia"/>
        <w:b w:val="0"/>
        <w:bCs w:val="0"/>
        <w:w w:val="100"/>
        <w:sz w:val="24"/>
        <w:szCs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0">
    <w:nsid w:val="3F9F72BA"/>
    <w:multiLevelType w:val="multilevel"/>
    <w:tmpl w:val="3F9F72BA"/>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5.5.%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1">
    <w:nsid w:val="4107610E"/>
    <w:multiLevelType w:val="multilevel"/>
    <w:tmpl w:val="4107610E"/>
    <w:lvl w:ilvl="0" w:tentative="0">
      <w:start w:val="1"/>
      <w:numFmt w:val="decimal"/>
      <w:lvlText w:val="%1)"/>
      <w:lvlJc w:val="left"/>
      <w:pPr>
        <w:ind w:left="600" w:hanging="36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abstractNum w:abstractNumId="12">
    <w:nsid w:val="42113C02"/>
    <w:multiLevelType w:val="multilevel"/>
    <w:tmpl w:val="42113C02"/>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4.2.%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3">
    <w:nsid w:val="56C33520"/>
    <w:multiLevelType w:val="multilevel"/>
    <w:tmpl w:val="56C33520"/>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5.4.%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4">
    <w:nsid w:val="64FE2D1B"/>
    <w:multiLevelType w:val="multilevel"/>
    <w:tmpl w:val="64FE2D1B"/>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3.2.%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5">
    <w:nsid w:val="69B50A2A"/>
    <w:multiLevelType w:val="multilevel"/>
    <w:tmpl w:val="69B50A2A"/>
    <w:lvl w:ilvl="0" w:tentative="0">
      <w:start w:val="6"/>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2"/>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6">
    <w:nsid w:val="6C037B4D"/>
    <w:multiLevelType w:val="multilevel"/>
    <w:tmpl w:val="6C037B4D"/>
    <w:lvl w:ilvl="0" w:tentative="0">
      <w:start w:val="1"/>
      <w:numFmt w:val="decimal"/>
      <w:lvlText w:val="%1"/>
      <w:lvlJc w:val="left"/>
      <w:pPr>
        <w:ind w:left="0" w:firstLine="0"/>
      </w:pPr>
      <w:rPr>
        <w:rFonts w:hint="eastAsia"/>
      </w:rPr>
    </w:lvl>
    <w:lvl w:ilvl="1" w:tentative="0">
      <w:start w:val="6"/>
      <w:numFmt w:val="decimal"/>
      <w:lvlText w:val="%1.%2"/>
      <w:lvlJc w:val="left"/>
      <w:pPr>
        <w:ind w:left="0" w:firstLine="0"/>
      </w:pPr>
      <w:rPr>
        <w:rFonts w:hint="eastAsia"/>
        <w:b w:val="0"/>
        <w:bCs w:val="0"/>
        <w:w w:val="100"/>
        <w:sz w:val="24"/>
        <w:szCs w:val="24"/>
      </w:rPr>
    </w:lvl>
    <w:lvl w:ilvl="2" w:tentative="0">
      <w:start w:val="4"/>
      <w:numFmt w:val="decimal"/>
      <w:lvlText w:val="%1.%2.%3"/>
      <w:lvlJc w:val="left"/>
      <w:pPr>
        <w:ind w:left="0" w:firstLine="0"/>
      </w:pPr>
      <w:rPr>
        <w:rFonts w:hint="eastAsia"/>
        <w:b w:val="0"/>
        <w:bCs w:val="0"/>
        <w:w w:val="100"/>
        <w:sz w:val="24"/>
        <w:szCs w:val="24"/>
      </w:rPr>
    </w:lvl>
    <w:lvl w:ilvl="3" w:tentative="0">
      <w:start w:val="1"/>
      <w:numFmt w:val="decimal"/>
      <w:lvlText w:val="6.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7">
    <w:nsid w:val="6C1E7DD4"/>
    <w:multiLevelType w:val="multilevel"/>
    <w:tmpl w:val="6C1E7DD4"/>
    <w:lvl w:ilvl="0" w:tentative="0">
      <w:start w:val="1"/>
      <w:numFmt w:val="decimal"/>
      <w:lvlText w:val="6.5.%1"/>
      <w:lvlJc w:val="left"/>
      <w:pPr>
        <w:ind w:left="0" w:firstLine="0"/>
      </w:pPr>
      <w:rPr>
        <w:rFonts w:hint="eastAsia"/>
      </w:rPr>
    </w:lvl>
    <w:lvl w:ilvl="1" w:tentative="0">
      <w:start w:val="1"/>
      <w:numFmt w:val="decimal"/>
      <w:lvlText w:val="2.%2"/>
      <w:lvlJc w:val="left"/>
      <w:pPr>
        <w:ind w:left="0" w:firstLine="0"/>
      </w:pPr>
      <w:rPr>
        <w:rFonts w:hint="eastAsia"/>
        <w:b w:val="0"/>
        <w:bCs w:val="0"/>
        <w:w w:val="100"/>
        <w:sz w:val="24"/>
        <w:szCs w:val="24"/>
      </w:rPr>
    </w:lvl>
    <w:lvl w:ilvl="2" w:tentative="0">
      <w:start w:val="1"/>
      <w:numFmt w:val="decimal"/>
      <w:lvlText w:val="2.%2.%3"/>
      <w:lvlJc w:val="left"/>
      <w:pPr>
        <w:ind w:left="0" w:firstLine="0"/>
      </w:pPr>
      <w:rPr>
        <w:rFonts w:hint="eastAsia"/>
        <w:b w:val="0"/>
        <w:bCs w:val="0"/>
        <w:w w:val="100"/>
        <w:sz w:val="24"/>
        <w:szCs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2"/>
  </w:num>
  <w:num w:numId="2">
    <w:abstractNumId w:val="9"/>
  </w:num>
  <w:num w:numId="3">
    <w:abstractNumId w:val="5"/>
  </w:num>
  <w:num w:numId="4">
    <w:abstractNumId w:val="1"/>
  </w:num>
  <w:num w:numId="5">
    <w:abstractNumId w:val="0"/>
  </w:num>
  <w:num w:numId="6">
    <w:abstractNumId w:val="16"/>
  </w:num>
  <w:num w:numId="7">
    <w:abstractNumId w:val="4"/>
  </w:num>
  <w:num w:numId="8">
    <w:abstractNumId w:val="6"/>
  </w:num>
  <w:num w:numId="9">
    <w:abstractNumId w:val="14"/>
  </w:num>
  <w:num w:numId="10">
    <w:abstractNumId w:val="11"/>
  </w:num>
  <w:num w:numId="11">
    <w:abstractNumId w:val="3"/>
  </w:num>
  <w:num w:numId="12">
    <w:abstractNumId w:val="8"/>
  </w:num>
  <w:num w:numId="13">
    <w:abstractNumId w:val="15"/>
  </w:num>
  <w:num w:numId="14">
    <w:abstractNumId w:val="12"/>
  </w:num>
  <w:num w:numId="15">
    <w:abstractNumId w:val="17"/>
  </w:num>
  <w:num w:numId="16">
    <w:abstractNumId w:val="7"/>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lZmVmNjg3ODkwZDY1NjFkNzc4ZGQwYTUzYThmYjEifQ=="/>
  </w:docVars>
  <w:rsids>
    <w:rsidRoot w:val="00172A27"/>
    <w:rsid w:val="0005389A"/>
    <w:rsid w:val="000B4A5B"/>
    <w:rsid w:val="00147B60"/>
    <w:rsid w:val="00172A27"/>
    <w:rsid w:val="00193C0E"/>
    <w:rsid w:val="002843F7"/>
    <w:rsid w:val="002C4449"/>
    <w:rsid w:val="002D36F4"/>
    <w:rsid w:val="0030689E"/>
    <w:rsid w:val="00327B87"/>
    <w:rsid w:val="0046440D"/>
    <w:rsid w:val="00591BF1"/>
    <w:rsid w:val="005F1787"/>
    <w:rsid w:val="0060473B"/>
    <w:rsid w:val="008F07B8"/>
    <w:rsid w:val="00925998"/>
    <w:rsid w:val="0099364F"/>
    <w:rsid w:val="00B02332"/>
    <w:rsid w:val="00CB1EB4"/>
    <w:rsid w:val="00D5549B"/>
    <w:rsid w:val="00E016AC"/>
    <w:rsid w:val="00EB60B2"/>
    <w:rsid w:val="00F460B2"/>
    <w:rsid w:val="012947F6"/>
    <w:rsid w:val="012F3C04"/>
    <w:rsid w:val="01B60D72"/>
    <w:rsid w:val="01F52A4E"/>
    <w:rsid w:val="01FA3898"/>
    <w:rsid w:val="01FF12D4"/>
    <w:rsid w:val="02006997"/>
    <w:rsid w:val="02656835"/>
    <w:rsid w:val="02EF5580"/>
    <w:rsid w:val="030640E4"/>
    <w:rsid w:val="037C1E74"/>
    <w:rsid w:val="03CC48F7"/>
    <w:rsid w:val="04397445"/>
    <w:rsid w:val="043A5387"/>
    <w:rsid w:val="049C1B9D"/>
    <w:rsid w:val="04D3267B"/>
    <w:rsid w:val="04EA1AC2"/>
    <w:rsid w:val="05675747"/>
    <w:rsid w:val="058E648C"/>
    <w:rsid w:val="062D5DE3"/>
    <w:rsid w:val="06B05316"/>
    <w:rsid w:val="06E44C61"/>
    <w:rsid w:val="071C6743"/>
    <w:rsid w:val="0747143F"/>
    <w:rsid w:val="07766FD7"/>
    <w:rsid w:val="0797776B"/>
    <w:rsid w:val="07B91489"/>
    <w:rsid w:val="08026597"/>
    <w:rsid w:val="083313C0"/>
    <w:rsid w:val="08530CB0"/>
    <w:rsid w:val="08812029"/>
    <w:rsid w:val="09587C87"/>
    <w:rsid w:val="0969226A"/>
    <w:rsid w:val="097512F5"/>
    <w:rsid w:val="0A652BC2"/>
    <w:rsid w:val="0A9C5C54"/>
    <w:rsid w:val="0AE24EBB"/>
    <w:rsid w:val="0AE72DF4"/>
    <w:rsid w:val="0AE94ACC"/>
    <w:rsid w:val="0B100A6F"/>
    <w:rsid w:val="0C591283"/>
    <w:rsid w:val="0C614CF2"/>
    <w:rsid w:val="0C822E25"/>
    <w:rsid w:val="0C955597"/>
    <w:rsid w:val="0C9F4A38"/>
    <w:rsid w:val="0CC505CA"/>
    <w:rsid w:val="0CCE4E3B"/>
    <w:rsid w:val="0CFA0C7C"/>
    <w:rsid w:val="0D0E6664"/>
    <w:rsid w:val="0D203981"/>
    <w:rsid w:val="0E88192F"/>
    <w:rsid w:val="0EB21FBD"/>
    <w:rsid w:val="0F5D63CD"/>
    <w:rsid w:val="0F6214D0"/>
    <w:rsid w:val="0F6627AF"/>
    <w:rsid w:val="0FB51563"/>
    <w:rsid w:val="10007490"/>
    <w:rsid w:val="101649EC"/>
    <w:rsid w:val="10810E2C"/>
    <w:rsid w:val="108C562B"/>
    <w:rsid w:val="1090371A"/>
    <w:rsid w:val="10A2166A"/>
    <w:rsid w:val="10EB611F"/>
    <w:rsid w:val="110201C7"/>
    <w:rsid w:val="11BA3663"/>
    <w:rsid w:val="123772EC"/>
    <w:rsid w:val="123D7610"/>
    <w:rsid w:val="124C7D62"/>
    <w:rsid w:val="129E5444"/>
    <w:rsid w:val="12A25001"/>
    <w:rsid w:val="12A8607C"/>
    <w:rsid w:val="12B67C07"/>
    <w:rsid w:val="141D612B"/>
    <w:rsid w:val="14995C32"/>
    <w:rsid w:val="14ED0282"/>
    <w:rsid w:val="15006D13"/>
    <w:rsid w:val="1531768A"/>
    <w:rsid w:val="154B372F"/>
    <w:rsid w:val="158D1A3D"/>
    <w:rsid w:val="15CC6AF9"/>
    <w:rsid w:val="15E779B6"/>
    <w:rsid w:val="16322249"/>
    <w:rsid w:val="16425DB4"/>
    <w:rsid w:val="1695644C"/>
    <w:rsid w:val="17387937"/>
    <w:rsid w:val="174146A3"/>
    <w:rsid w:val="17454D35"/>
    <w:rsid w:val="17514A69"/>
    <w:rsid w:val="1780647A"/>
    <w:rsid w:val="17F532E6"/>
    <w:rsid w:val="187A216E"/>
    <w:rsid w:val="18C627DD"/>
    <w:rsid w:val="1926615A"/>
    <w:rsid w:val="19DC0C00"/>
    <w:rsid w:val="1A0C2EC9"/>
    <w:rsid w:val="1A166B34"/>
    <w:rsid w:val="1A285CA2"/>
    <w:rsid w:val="1A7C2007"/>
    <w:rsid w:val="1A807414"/>
    <w:rsid w:val="1B334265"/>
    <w:rsid w:val="1B4B64D7"/>
    <w:rsid w:val="1B545B26"/>
    <w:rsid w:val="1B5E0D24"/>
    <w:rsid w:val="1C3B1CD4"/>
    <w:rsid w:val="1C9827F5"/>
    <w:rsid w:val="1D3073A1"/>
    <w:rsid w:val="1D9D71B6"/>
    <w:rsid w:val="1DC2749E"/>
    <w:rsid w:val="1E703E2F"/>
    <w:rsid w:val="1E762740"/>
    <w:rsid w:val="1EDA78C7"/>
    <w:rsid w:val="1F3D6039"/>
    <w:rsid w:val="1F6115C5"/>
    <w:rsid w:val="1F7978FF"/>
    <w:rsid w:val="20136B65"/>
    <w:rsid w:val="208A0F0C"/>
    <w:rsid w:val="2090637B"/>
    <w:rsid w:val="20BB11A5"/>
    <w:rsid w:val="20E00C0C"/>
    <w:rsid w:val="22296587"/>
    <w:rsid w:val="22BC66DD"/>
    <w:rsid w:val="23030804"/>
    <w:rsid w:val="231520C0"/>
    <w:rsid w:val="23381D21"/>
    <w:rsid w:val="237D677D"/>
    <w:rsid w:val="23A572FE"/>
    <w:rsid w:val="23AE6C0D"/>
    <w:rsid w:val="23B96F0D"/>
    <w:rsid w:val="23F22DD8"/>
    <w:rsid w:val="240D5E1F"/>
    <w:rsid w:val="241629E0"/>
    <w:rsid w:val="24170E0E"/>
    <w:rsid w:val="243B5EB3"/>
    <w:rsid w:val="24572F93"/>
    <w:rsid w:val="246D5A86"/>
    <w:rsid w:val="25B4257A"/>
    <w:rsid w:val="261A4FA4"/>
    <w:rsid w:val="264A1001"/>
    <w:rsid w:val="26B65AA3"/>
    <w:rsid w:val="26E36D60"/>
    <w:rsid w:val="26F50752"/>
    <w:rsid w:val="272C20CF"/>
    <w:rsid w:val="274920AF"/>
    <w:rsid w:val="27A97FAA"/>
    <w:rsid w:val="27C90B4E"/>
    <w:rsid w:val="285A7A20"/>
    <w:rsid w:val="28BD7427"/>
    <w:rsid w:val="28D728F5"/>
    <w:rsid w:val="29220A74"/>
    <w:rsid w:val="29491779"/>
    <w:rsid w:val="299951CC"/>
    <w:rsid w:val="299D6600"/>
    <w:rsid w:val="29EB0A32"/>
    <w:rsid w:val="2A351D21"/>
    <w:rsid w:val="2A3E70CF"/>
    <w:rsid w:val="2A7674A9"/>
    <w:rsid w:val="2A9535A6"/>
    <w:rsid w:val="2B6E2E4B"/>
    <w:rsid w:val="2C19377C"/>
    <w:rsid w:val="2C517D59"/>
    <w:rsid w:val="2C5E06D8"/>
    <w:rsid w:val="2CA4448B"/>
    <w:rsid w:val="2CDF1BD1"/>
    <w:rsid w:val="2D26209C"/>
    <w:rsid w:val="2D45238A"/>
    <w:rsid w:val="2D454806"/>
    <w:rsid w:val="2DE053A8"/>
    <w:rsid w:val="2E21354A"/>
    <w:rsid w:val="2E4F58EB"/>
    <w:rsid w:val="2EBA6F40"/>
    <w:rsid w:val="2ECF60B5"/>
    <w:rsid w:val="2ED420CE"/>
    <w:rsid w:val="2EF519FF"/>
    <w:rsid w:val="2F762E67"/>
    <w:rsid w:val="2FDD1E7A"/>
    <w:rsid w:val="301D7893"/>
    <w:rsid w:val="30591AD7"/>
    <w:rsid w:val="30B35231"/>
    <w:rsid w:val="30D720F0"/>
    <w:rsid w:val="316B2816"/>
    <w:rsid w:val="31BE28A4"/>
    <w:rsid w:val="31D73703"/>
    <w:rsid w:val="31E47D5B"/>
    <w:rsid w:val="31EA15DF"/>
    <w:rsid w:val="31EE16B5"/>
    <w:rsid w:val="31EF6963"/>
    <w:rsid w:val="32FA2CB1"/>
    <w:rsid w:val="330469DC"/>
    <w:rsid w:val="330512BF"/>
    <w:rsid w:val="331512D1"/>
    <w:rsid w:val="339860E9"/>
    <w:rsid w:val="33AF70A7"/>
    <w:rsid w:val="344057F2"/>
    <w:rsid w:val="34661E18"/>
    <w:rsid w:val="34AB39E3"/>
    <w:rsid w:val="34B33FAF"/>
    <w:rsid w:val="34CE0AE7"/>
    <w:rsid w:val="3538795C"/>
    <w:rsid w:val="35735E95"/>
    <w:rsid w:val="35B16EC6"/>
    <w:rsid w:val="36017534"/>
    <w:rsid w:val="360D7F28"/>
    <w:rsid w:val="36475F5B"/>
    <w:rsid w:val="36683C05"/>
    <w:rsid w:val="36A80F20"/>
    <w:rsid w:val="36C4611F"/>
    <w:rsid w:val="37097DAA"/>
    <w:rsid w:val="370E441D"/>
    <w:rsid w:val="37187064"/>
    <w:rsid w:val="37775667"/>
    <w:rsid w:val="3780754E"/>
    <w:rsid w:val="382E0ED0"/>
    <w:rsid w:val="383B3A78"/>
    <w:rsid w:val="385306C5"/>
    <w:rsid w:val="387203F3"/>
    <w:rsid w:val="38905E03"/>
    <w:rsid w:val="391F52BA"/>
    <w:rsid w:val="394B6E34"/>
    <w:rsid w:val="3956043C"/>
    <w:rsid w:val="39FD77A2"/>
    <w:rsid w:val="3A041A17"/>
    <w:rsid w:val="3A9C0BC3"/>
    <w:rsid w:val="3AA76149"/>
    <w:rsid w:val="3AB77B40"/>
    <w:rsid w:val="3AF8332A"/>
    <w:rsid w:val="3B4E3D57"/>
    <w:rsid w:val="3B806E1C"/>
    <w:rsid w:val="3B930C3C"/>
    <w:rsid w:val="3BA448B8"/>
    <w:rsid w:val="3BB333B7"/>
    <w:rsid w:val="3BDA417A"/>
    <w:rsid w:val="3BEE1FD7"/>
    <w:rsid w:val="3C281265"/>
    <w:rsid w:val="3C2F4561"/>
    <w:rsid w:val="3C587FD2"/>
    <w:rsid w:val="3C6C5E40"/>
    <w:rsid w:val="3C894EA5"/>
    <w:rsid w:val="3CE40C44"/>
    <w:rsid w:val="3CF51E19"/>
    <w:rsid w:val="3D1848FA"/>
    <w:rsid w:val="3D185589"/>
    <w:rsid w:val="3D42082D"/>
    <w:rsid w:val="3DBB2F32"/>
    <w:rsid w:val="3E4B6F69"/>
    <w:rsid w:val="3EC139D3"/>
    <w:rsid w:val="3F165ACD"/>
    <w:rsid w:val="3F3659A7"/>
    <w:rsid w:val="3F3B3785"/>
    <w:rsid w:val="3F544EF2"/>
    <w:rsid w:val="3FE35F47"/>
    <w:rsid w:val="3FEA1DE5"/>
    <w:rsid w:val="3FFB4CC3"/>
    <w:rsid w:val="406E7812"/>
    <w:rsid w:val="40835C11"/>
    <w:rsid w:val="40875834"/>
    <w:rsid w:val="408A1075"/>
    <w:rsid w:val="40A40AA5"/>
    <w:rsid w:val="40CF687B"/>
    <w:rsid w:val="40E27F58"/>
    <w:rsid w:val="412E6156"/>
    <w:rsid w:val="414E5AC8"/>
    <w:rsid w:val="41631C9E"/>
    <w:rsid w:val="4276494E"/>
    <w:rsid w:val="428036CF"/>
    <w:rsid w:val="42963CA3"/>
    <w:rsid w:val="42E80DCE"/>
    <w:rsid w:val="42FC147E"/>
    <w:rsid w:val="431A1904"/>
    <w:rsid w:val="43317905"/>
    <w:rsid w:val="435B4609"/>
    <w:rsid w:val="436C03B1"/>
    <w:rsid w:val="4370222C"/>
    <w:rsid w:val="43B8701C"/>
    <w:rsid w:val="43D370C1"/>
    <w:rsid w:val="43F504C8"/>
    <w:rsid w:val="44004F9E"/>
    <w:rsid w:val="441A38E8"/>
    <w:rsid w:val="44CE6E4A"/>
    <w:rsid w:val="44D4283C"/>
    <w:rsid w:val="44EB326F"/>
    <w:rsid w:val="456F26F6"/>
    <w:rsid w:val="45910665"/>
    <w:rsid w:val="45C9535A"/>
    <w:rsid w:val="45DF5072"/>
    <w:rsid w:val="461C54BF"/>
    <w:rsid w:val="46377280"/>
    <w:rsid w:val="46680829"/>
    <w:rsid w:val="470663F0"/>
    <w:rsid w:val="47685334"/>
    <w:rsid w:val="477702FD"/>
    <w:rsid w:val="4799407E"/>
    <w:rsid w:val="47C1187D"/>
    <w:rsid w:val="48853D73"/>
    <w:rsid w:val="488F2E94"/>
    <w:rsid w:val="493C432B"/>
    <w:rsid w:val="49927B74"/>
    <w:rsid w:val="49AB75CB"/>
    <w:rsid w:val="4A26040C"/>
    <w:rsid w:val="4A6E7C54"/>
    <w:rsid w:val="4A8D5804"/>
    <w:rsid w:val="4B3774F7"/>
    <w:rsid w:val="4B8E6781"/>
    <w:rsid w:val="4BEB09FE"/>
    <w:rsid w:val="4BFF09E9"/>
    <w:rsid w:val="4C16799F"/>
    <w:rsid w:val="4C757458"/>
    <w:rsid w:val="4CAA55D5"/>
    <w:rsid w:val="4DED6593"/>
    <w:rsid w:val="4E372216"/>
    <w:rsid w:val="4EE206B5"/>
    <w:rsid w:val="4EF179BD"/>
    <w:rsid w:val="4F3A6DA5"/>
    <w:rsid w:val="4F466128"/>
    <w:rsid w:val="4F497A2D"/>
    <w:rsid w:val="4F7B0FF3"/>
    <w:rsid w:val="4FB047F0"/>
    <w:rsid w:val="4FE074E2"/>
    <w:rsid w:val="4FF64D51"/>
    <w:rsid w:val="50CA49BB"/>
    <w:rsid w:val="50DC2AD2"/>
    <w:rsid w:val="50DE0656"/>
    <w:rsid w:val="50F11A4C"/>
    <w:rsid w:val="512F0C70"/>
    <w:rsid w:val="515A3F3F"/>
    <w:rsid w:val="51645C01"/>
    <w:rsid w:val="519455AB"/>
    <w:rsid w:val="51D23B6A"/>
    <w:rsid w:val="51F6353C"/>
    <w:rsid w:val="521B4B42"/>
    <w:rsid w:val="52512E24"/>
    <w:rsid w:val="52767E2D"/>
    <w:rsid w:val="52B374DE"/>
    <w:rsid w:val="52F70EB5"/>
    <w:rsid w:val="52FB705C"/>
    <w:rsid w:val="530047B6"/>
    <w:rsid w:val="537F5EDF"/>
    <w:rsid w:val="53A03E87"/>
    <w:rsid w:val="53BA3DDA"/>
    <w:rsid w:val="53C678FD"/>
    <w:rsid w:val="53EE185A"/>
    <w:rsid w:val="5410368C"/>
    <w:rsid w:val="54550A7E"/>
    <w:rsid w:val="546D2A90"/>
    <w:rsid w:val="54D2203E"/>
    <w:rsid w:val="54D9517B"/>
    <w:rsid w:val="55085D22"/>
    <w:rsid w:val="55524CCF"/>
    <w:rsid w:val="55990DAE"/>
    <w:rsid w:val="56015476"/>
    <w:rsid w:val="560845F5"/>
    <w:rsid w:val="568B0EBA"/>
    <w:rsid w:val="56C84449"/>
    <w:rsid w:val="56F95181"/>
    <w:rsid w:val="578C0BCA"/>
    <w:rsid w:val="584C0E66"/>
    <w:rsid w:val="5869414B"/>
    <w:rsid w:val="58972E91"/>
    <w:rsid w:val="58BA65FC"/>
    <w:rsid w:val="58E679F9"/>
    <w:rsid w:val="58ED0274"/>
    <w:rsid w:val="59886B03"/>
    <w:rsid w:val="598B2D07"/>
    <w:rsid w:val="5A0D578B"/>
    <w:rsid w:val="5A33532D"/>
    <w:rsid w:val="5A4F4744"/>
    <w:rsid w:val="5A980770"/>
    <w:rsid w:val="5AB42004"/>
    <w:rsid w:val="5AB94A35"/>
    <w:rsid w:val="5AD0007D"/>
    <w:rsid w:val="5B043C96"/>
    <w:rsid w:val="5B150ED7"/>
    <w:rsid w:val="5B185D96"/>
    <w:rsid w:val="5B4C3C4A"/>
    <w:rsid w:val="5BB06C00"/>
    <w:rsid w:val="5BE70AC5"/>
    <w:rsid w:val="5C3D39FF"/>
    <w:rsid w:val="5C5B4E53"/>
    <w:rsid w:val="5CF94934"/>
    <w:rsid w:val="5D660A18"/>
    <w:rsid w:val="5D6639D9"/>
    <w:rsid w:val="5DAC3EB9"/>
    <w:rsid w:val="5DCC2A9C"/>
    <w:rsid w:val="5DEF0420"/>
    <w:rsid w:val="5E053485"/>
    <w:rsid w:val="5E1C5FF6"/>
    <w:rsid w:val="5EC267B6"/>
    <w:rsid w:val="5EC632B1"/>
    <w:rsid w:val="5F0800F0"/>
    <w:rsid w:val="5F4E395D"/>
    <w:rsid w:val="5FD70179"/>
    <w:rsid w:val="5FD749AD"/>
    <w:rsid w:val="5FEC044D"/>
    <w:rsid w:val="60075B24"/>
    <w:rsid w:val="603857DC"/>
    <w:rsid w:val="604C0EF7"/>
    <w:rsid w:val="60B849C2"/>
    <w:rsid w:val="60EF381E"/>
    <w:rsid w:val="617C4B5C"/>
    <w:rsid w:val="61967761"/>
    <w:rsid w:val="61F070FE"/>
    <w:rsid w:val="621F67CD"/>
    <w:rsid w:val="627C1C8B"/>
    <w:rsid w:val="628A2489"/>
    <w:rsid w:val="62B16988"/>
    <w:rsid w:val="635377E2"/>
    <w:rsid w:val="635E10A4"/>
    <w:rsid w:val="63977865"/>
    <w:rsid w:val="63991971"/>
    <w:rsid w:val="64147FE4"/>
    <w:rsid w:val="64C64FF0"/>
    <w:rsid w:val="6514527E"/>
    <w:rsid w:val="653503C4"/>
    <w:rsid w:val="65B13FDF"/>
    <w:rsid w:val="65B14E53"/>
    <w:rsid w:val="65BB001D"/>
    <w:rsid w:val="660B3602"/>
    <w:rsid w:val="667016B7"/>
    <w:rsid w:val="66910079"/>
    <w:rsid w:val="66CB667F"/>
    <w:rsid w:val="670A61AB"/>
    <w:rsid w:val="67542D87"/>
    <w:rsid w:val="67EA0FB3"/>
    <w:rsid w:val="681945FC"/>
    <w:rsid w:val="68206988"/>
    <w:rsid w:val="682445D3"/>
    <w:rsid w:val="687E5B8B"/>
    <w:rsid w:val="68B9165A"/>
    <w:rsid w:val="68EA6719"/>
    <w:rsid w:val="690031C6"/>
    <w:rsid w:val="69011B75"/>
    <w:rsid w:val="69586B5E"/>
    <w:rsid w:val="698F00A6"/>
    <w:rsid w:val="69A9560C"/>
    <w:rsid w:val="69C60B52"/>
    <w:rsid w:val="69D97BBF"/>
    <w:rsid w:val="69E009B3"/>
    <w:rsid w:val="69ED3DC6"/>
    <w:rsid w:val="6A7052DA"/>
    <w:rsid w:val="6AA34AD0"/>
    <w:rsid w:val="6AC3022C"/>
    <w:rsid w:val="6AFB47F0"/>
    <w:rsid w:val="6B325D6A"/>
    <w:rsid w:val="6B827A92"/>
    <w:rsid w:val="6B9A2731"/>
    <w:rsid w:val="6C066E26"/>
    <w:rsid w:val="6C3F5DB4"/>
    <w:rsid w:val="6C506213"/>
    <w:rsid w:val="6C734621"/>
    <w:rsid w:val="6C781758"/>
    <w:rsid w:val="6CD05173"/>
    <w:rsid w:val="6CF13047"/>
    <w:rsid w:val="6D1E49F0"/>
    <w:rsid w:val="6D7D4DE5"/>
    <w:rsid w:val="6D901B30"/>
    <w:rsid w:val="6DA10CD4"/>
    <w:rsid w:val="6DC5678C"/>
    <w:rsid w:val="6E101300"/>
    <w:rsid w:val="6E522248"/>
    <w:rsid w:val="6E7E1B58"/>
    <w:rsid w:val="6E956F97"/>
    <w:rsid w:val="6EBA5BC5"/>
    <w:rsid w:val="6F373063"/>
    <w:rsid w:val="6F992CFE"/>
    <w:rsid w:val="6FA142CB"/>
    <w:rsid w:val="70190B65"/>
    <w:rsid w:val="701D5F64"/>
    <w:rsid w:val="70805D94"/>
    <w:rsid w:val="70AA1A02"/>
    <w:rsid w:val="70B61D93"/>
    <w:rsid w:val="70F94AD8"/>
    <w:rsid w:val="71216B70"/>
    <w:rsid w:val="71372777"/>
    <w:rsid w:val="713C5D9A"/>
    <w:rsid w:val="714B3504"/>
    <w:rsid w:val="71CC00E9"/>
    <w:rsid w:val="721E0247"/>
    <w:rsid w:val="726A6011"/>
    <w:rsid w:val="72721533"/>
    <w:rsid w:val="729D2170"/>
    <w:rsid w:val="72A951A1"/>
    <w:rsid w:val="73146A80"/>
    <w:rsid w:val="73361D3D"/>
    <w:rsid w:val="736678F9"/>
    <w:rsid w:val="73763D8A"/>
    <w:rsid w:val="73781BAB"/>
    <w:rsid w:val="738B0793"/>
    <w:rsid w:val="73C02B76"/>
    <w:rsid w:val="73E26C31"/>
    <w:rsid w:val="7412462C"/>
    <w:rsid w:val="7431692A"/>
    <w:rsid w:val="744F5647"/>
    <w:rsid w:val="747131CA"/>
    <w:rsid w:val="74780A2A"/>
    <w:rsid w:val="74965B9C"/>
    <w:rsid w:val="74A2720B"/>
    <w:rsid w:val="74AB1FB2"/>
    <w:rsid w:val="74B31FB9"/>
    <w:rsid w:val="74D66820"/>
    <w:rsid w:val="750D1A10"/>
    <w:rsid w:val="75662263"/>
    <w:rsid w:val="75834F63"/>
    <w:rsid w:val="75930F1E"/>
    <w:rsid w:val="75DB0FA4"/>
    <w:rsid w:val="75F90634"/>
    <w:rsid w:val="7695169A"/>
    <w:rsid w:val="77054D32"/>
    <w:rsid w:val="77201512"/>
    <w:rsid w:val="772D2FE4"/>
    <w:rsid w:val="7750223A"/>
    <w:rsid w:val="778D200D"/>
    <w:rsid w:val="77D10A0D"/>
    <w:rsid w:val="77ED69E7"/>
    <w:rsid w:val="77F20749"/>
    <w:rsid w:val="78065FE2"/>
    <w:rsid w:val="782162EC"/>
    <w:rsid w:val="7838410E"/>
    <w:rsid w:val="78B76010"/>
    <w:rsid w:val="78B8343A"/>
    <w:rsid w:val="78D55A32"/>
    <w:rsid w:val="78EF2D8B"/>
    <w:rsid w:val="790611A1"/>
    <w:rsid w:val="792A0F7E"/>
    <w:rsid w:val="79312E7F"/>
    <w:rsid w:val="79C60853"/>
    <w:rsid w:val="79ED38DD"/>
    <w:rsid w:val="7A324348"/>
    <w:rsid w:val="7A410D0E"/>
    <w:rsid w:val="7A51265D"/>
    <w:rsid w:val="7AE5715E"/>
    <w:rsid w:val="7B011EB2"/>
    <w:rsid w:val="7B0247BD"/>
    <w:rsid w:val="7B354809"/>
    <w:rsid w:val="7B3E0E31"/>
    <w:rsid w:val="7B4F2352"/>
    <w:rsid w:val="7BDD1CD9"/>
    <w:rsid w:val="7D06188C"/>
    <w:rsid w:val="7DA52A9D"/>
    <w:rsid w:val="7DB149E6"/>
    <w:rsid w:val="7ED55862"/>
    <w:rsid w:val="7F294E83"/>
    <w:rsid w:val="7F657A81"/>
    <w:rsid w:val="7FE71B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keepNext/>
      <w:keepLines/>
      <w:numPr>
        <w:ilvl w:val="0"/>
        <w:numId w:val="1"/>
      </w:numPr>
      <w:tabs>
        <w:tab w:val="left" w:pos="420"/>
        <w:tab w:val="left" w:pos="1210"/>
      </w:tabs>
      <w:spacing w:before="80" w:after="200" w:line="288" w:lineRule="auto"/>
      <w:outlineLvl w:val="0"/>
    </w:pPr>
    <w:rPr>
      <w:b/>
      <w:bCs/>
      <w:kern w:val="44"/>
      <w:sz w:val="28"/>
      <w:szCs w:val="28"/>
    </w:rPr>
  </w:style>
  <w:style w:type="paragraph" w:styleId="3">
    <w:name w:val="heading 2"/>
    <w:basedOn w:val="1"/>
    <w:next w:val="1"/>
    <w:qFormat/>
    <w:uiPriority w:val="0"/>
    <w:pPr>
      <w:keepNext/>
      <w:keepLines/>
      <w:numPr>
        <w:ilvl w:val="1"/>
        <w:numId w:val="1"/>
      </w:numPr>
      <w:tabs>
        <w:tab w:val="left" w:pos="210"/>
        <w:tab w:val="left" w:pos="252"/>
        <w:tab w:val="left" w:pos="540"/>
      </w:tabs>
      <w:spacing w:before="240" w:after="200" w:line="288" w:lineRule="auto"/>
      <w:outlineLvl w:val="1"/>
    </w:pPr>
    <w:rPr>
      <w:b/>
      <w:bCs/>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qFormat/>
    <w:uiPriority w:val="1"/>
    <w:pPr>
      <w:ind w:left="120"/>
    </w:pPr>
    <w:rPr>
      <w:rFonts w:ascii="宋体" w:hAnsi="宋体" w:eastAsia="宋体"/>
      <w:sz w:val="24"/>
      <w:szCs w:val="24"/>
    </w:rPr>
  </w:style>
  <w:style w:type="paragraph" w:styleId="6">
    <w:name w:val="Balloon Text"/>
    <w:basedOn w:val="1"/>
    <w:link w:val="22"/>
    <w:qFormat/>
    <w:uiPriority w:val="0"/>
    <w:rPr>
      <w:sz w:val="18"/>
      <w:szCs w:val="18"/>
    </w:rPr>
  </w:style>
  <w:style w:type="paragraph" w:styleId="7">
    <w:name w:val="footer"/>
    <w:basedOn w:val="1"/>
    <w:qFormat/>
    <w:uiPriority w:val="0"/>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Title"/>
    <w:basedOn w:val="1"/>
    <w:qFormat/>
    <w:uiPriority w:val="0"/>
    <w:pPr>
      <w:spacing w:before="240" w:after="60"/>
      <w:jc w:val="center"/>
      <w:outlineLvl w:val="0"/>
    </w:pPr>
    <w:rPr>
      <w:b/>
      <w:bCs/>
      <w:sz w:val="32"/>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styleId="16">
    <w:name w:val="List Paragraph"/>
    <w:basedOn w:val="1"/>
    <w:qFormat/>
    <w:uiPriority w:val="1"/>
    <w:pPr>
      <w:spacing w:before="1"/>
      <w:ind w:left="380" w:firstLine="480"/>
    </w:pPr>
    <w:rPr>
      <w:rFonts w:ascii="宋体" w:hAnsi="宋体" w:eastAsia="宋体" w:cs="宋体"/>
      <w:lang w:val="zh-CN" w:bidi="zh-CN"/>
    </w:rPr>
  </w:style>
  <w:style w:type="paragraph" w:customStyle="1" w:styleId="17">
    <w:name w:val="Table Paragraph"/>
    <w:basedOn w:val="1"/>
    <w:qFormat/>
    <w:uiPriority w:val="1"/>
    <w:rPr>
      <w:rFonts w:ascii="宋体" w:hAnsi="宋体" w:eastAsia="宋体" w:cs="宋体"/>
      <w:lang w:val="zh-CN" w:bidi="zh-CN"/>
    </w:rPr>
  </w:style>
  <w:style w:type="paragraph" w:customStyle="1" w:styleId="18">
    <w:name w:val="Table Text"/>
    <w:basedOn w:val="1"/>
    <w:semiHidden/>
    <w:qFormat/>
    <w:uiPriority w:val="0"/>
    <w:rPr>
      <w:lang w:eastAsia="en-US"/>
    </w:rPr>
  </w:style>
  <w:style w:type="paragraph" w:customStyle="1" w:styleId="19">
    <w:name w:val="Body text|1"/>
    <w:basedOn w:val="1"/>
    <w:qFormat/>
    <w:uiPriority w:val="0"/>
    <w:pPr>
      <w:spacing w:line="422" w:lineRule="auto"/>
      <w:ind w:firstLine="400"/>
    </w:pPr>
    <w:rPr>
      <w:rFonts w:ascii="宋体" w:hAnsi="宋体" w:eastAsia="宋体" w:cs="宋体"/>
      <w:sz w:val="22"/>
      <w:lang w:val="zh-TW" w:eastAsia="zh-TW" w:bidi="zh-TW"/>
    </w:rPr>
  </w:style>
  <w:style w:type="paragraph" w:styleId="20">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1">
    <w:name w:val="bgr"/>
    <w:basedOn w:val="12"/>
    <w:qFormat/>
    <w:uiPriority w:val="0"/>
  </w:style>
  <w:style w:type="character" w:customStyle="1" w:styleId="22">
    <w:name w:val="批注框文本 字符"/>
    <w:basedOn w:val="12"/>
    <w:link w:val="6"/>
    <w:qFormat/>
    <w:uiPriority w:val="0"/>
    <w:rPr>
      <w:rFonts w:ascii="Arial" w:hAnsi="Arial" w:eastAsia="Arial" w:cs="Arial"/>
      <w:snapToGrid w:val="0"/>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Pages>
  <Words>7005</Words>
  <Characters>8173</Characters>
  <Lines>251</Lines>
  <Paragraphs>70</Paragraphs>
  <TotalTime>31</TotalTime>
  <ScaleCrop>false</ScaleCrop>
  <LinksUpToDate>false</LinksUpToDate>
  <CharactersWithSpaces>9303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2022-01-25T10:57:00Z</dcterms:created>
  <dc:creator>季晓玲</dc:creator>
  <cp:lastModifiedBy>A.Lemon、心</cp:lastModifiedBy>
  <cp:lastPrinted>2022-07-22T06:18:00Z</cp:lastPrinted>
  <dcterms:modified xsi:type="dcterms:W3CDTF">2026-05-08T07:29:30Z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wqlLaW5nc29mdCBQREYgdG8gV1BTIDY1</vt:lpwstr>
  </property>
  <property fmtid="{D5CDD505-2E9C-101B-9397-08002B2CF9AE}" pid="3" name="Created">
    <vt:filetime>2022-01-25T10:59:47Z</vt:filetime>
  </property>
  <property fmtid="{D5CDD505-2E9C-101B-9397-08002B2CF9AE}" pid="4" name="KSOProductBuildVer">
    <vt:lpwstr>2052-12.1.0.25865</vt:lpwstr>
  </property>
  <property fmtid="{D5CDD505-2E9C-101B-9397-08002B2CF9AE}" pid="5" name="ICV">
    <vt:lpwstr>1D31D4B70B734AE29816A945647E4E8F_13</vt:lpwstr>
  </property>
  <property fmtid="{D5CDD505-2E9C-101B-9397-08002B2CF9AE}" pid="6" name="KSOTemplateDocerSaveRecord">
    <vt:lpwstr>eyJoZGlkIjoiYzVjZDhhOWFkMWU4NzE1ZjE4MzE2OWM0NjViYzRkNTYiLCJ1c2VySWQiOiI1MzI3NTMzNzgifQ==</vt:lpwstr>
  </property>
</Properties>
</file>